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8ED387">
      <w:pPr>
        <w:pStyle w:val="30"/>
        <w:jc w:val="center"/>
        <w:rPr>
          <w:rFonts w:ascii="Times New Roman" w:eastAsia="宋体" w:cs="Times New Roman"/>
          <w:b/>
          <w:bCs/>
          <w:sz w:val="84"/>
          <w:szCs w:val="84"/>
        </w:rPr>
      </w:pPr>
      <w:bookmarkStart w:id="0" w:name="_Toc390099018"/>
      <w:bookmarkStart w:id="1" w:name="_Toc390098840"/>
      <w:bookmarkStart w:id="2" w:name="_Toc426469868"/>
      <w:bookmarkStart w:id="3" w:name="_Toc390246905"/>
      <w:bookmarkStart w:id="4" w:name="_Toc383698647"/>
      <w:bookmarkStart w:id="5" w:name="_Toc383625993"/>
      <w:bookmarkStart w:id="6" w:name="_Toc383587456"/>
      <w:bookmarkStart w:id="7" w:name="_Toc383679746"/>
      <w:bookmarkStart w:id="8" w:name="_Toc383623944"/>
      <w:bookmarkStart w:id="9" w:name="_Toc383623672"/>
    </w:p>
    <w:p w14:paraId="41C8EB08">
      <w:pPr>
        <w:pStyle w:val="30"/>
        <w:jc w:val="center"/>
        <w:rPr>
          <w:rFonts w:ascii="Times New Roman" w:eastAsia="宋体" w:cs="Times New Roman"/>
          <w:b/>
          <w:bCs/>
          <w:sz w:val="84"/>
          <w:szCs w:val="84"/>
        </w:rPr>
      </w:pPr>
    </w:p>
    <w:p w14:paraId="0EF0152B">
      <w:pPr>
        <w:pStyle w:val="30"/>
        <w:jc w:val="center"/>
        <w:rPr>
          <w:rFonts w:ascii="Times New Roman" w:eastAsia="宋体" w:cs="Times New Roman"/>
          <w:b/>
          <w:bCs/>
          <w:sz w:val="84"/>
          <w:szCs w:val="84"/>
        </w:rPr>
      </w:pPr>
      <w:r>
        <w:rPr>
          <w:rFonts w:ascii="Times New Roman" w:eastAsia="宋体" w:cs="Times New Roman"/>
          <w:b/>
          <w:bCs/>
          <w:sz w:val="84"/>
          <w:szCs w:val="84"/>
        </w:rPr>
        <w:t>招　标　文　件</w:t>
      </w:r>
    </w:p>
    <w:p w14:paraId="687E37E4">
      <w:pPr>
        <w:pStyle w:val="30"/>
        <w:spacing w:line="540" w:lineRule="exact"/>
        <w:rPr>
          <w:rFonts w:ascii="Times New Roman" w:eastAsia="宋体" w:cs="Times New Roman"/>
          <w:b/>
          <w:bCs/>
          <w:sz w:val="32"/>
          <w:szCs w:val="32"/>
        </w:rPr>
      </w:pPr>
    </w:p>
    <w:p w14:paraId="57FE2130">
      <w:pPr>
        <w:pStyle w:val="30"/>
        <w:spacing w:line="540" w:lineRule="exact"/>
        <w:rPr>
          <w:rFonts w:ascii="Times New Roman" w:eastAsia="宋体" w:cs="Times New Roman"/>
          <w:b/>
          <w:bCs/>
          <w:sz w:val="32"/>
          <w:szCs w:val="32"/>
        </w:rPr>
      </w:pPr>
    </w:p>
    <w:p w14:paraId="21A71474">
      <w:pPr>
        <w:pStyle w:val="30"/>
        <w:spacing w:line="540" w:lineRule="exact"/>
        <w:rPr>
          <w:rFonts w:ascii="Times New Roman" w:eastAsia="宋体" w:cs="Times New Roman"/>
          <w:b/>
          <w:bCs/>
          <w:sz w:val="32"/>
          <w:szCs w:val="32"/>
        </w:rPr>
      </w:pPr>
    </w:p>
    <w:p w14:paraId="368BAC48">
      <w:pPr>
        <w:pStyle w:val="30"/>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p>
    <w:p w14:paraId="2B37C0BF">
      <w:pPr>
        <w:widowControl/>
        <w:ind w:left="2266" w:hanging="2266" w:hangingChars="513"/>
        <w:jc w:val="left"/>
        <w:rPr>
          <w:b/>
          <w:bCs/>
          <w:sz w:val="44"/>
          <w:szCs w:val="44"/>
        </w:rPr>
      </w:pPr>
      <w:r>
        <w:rPr>
          <w:b/>
          <w:bCs/>
          <w:sz w:val="44"/>
          <w:szCs w:val="44"/>
        </w:rPr>
        <w:t>项目名称：</w:t>
      </w:r>
      <w:r>
        <w:rPr>
          <w:rFonts w:hint="eastAsia"/>
          <w:b/>
          <w:bCs/>
          <w:sz w:val="44"/>
          <w:szCs w:val="44"/>
          <w:lang w:eastAsia="zh-CN"/>
        </w:rPr>
        <w:t>泰兴市中医院、</w:t>
      </w:r>
      <w:r>
        <w:rPr>
          <w:rFonts w:hint="eastAsia"/>
          <w:b/>
          <w:bCs/>
          <w:sz w:val="44"/>
          <w:szCs w:val="44"/>
          <w:lang w:val="en-US" w:eastAsia="zh-CN"/>
        </w:rPr>
        <w:t>妇幼保健院</w:t>
      </w:r>
      <w:r>
        <w:rPr>
          <w:rFonts w:hint="eastAsia"/>
          <w:b/>
          <w:bCs/>
          <w:sz w:val="44"/>
          <w:szCs w:val="44"/>
        </w:rPr>
        <w:t>物业管理服务项目</w:t>
      </w:r>
    </w:p>
    <w:p w14:paraId="0BE5B4D3">
      <w:pPr>
        <w:pStyle w:val="30"/>
        <w:spacing w:line="540" w:lineRule="exact"/>
        <w:jc w:val="left"/>
        <w:rPr>
          <w:rFonts w:hint="eastAsia" w:ascii="宋体" w:hAnsi="宋体" w:eastAsia="宋体" w:cs="宋体"/>
          <w:b/>
          <w:bCs/>
          <w:color w:val="auto"/>
          <w:sz w:val="44"/>
          <w:szCs w:val="44"/>
          <w:lang w:val="en-US" w:eastAsia="zh-CN" w:bidi="ar-SA"/>
        </w:rPr>
      </w:pPr>
      <w:r>
        <w:rPr>
          <w:rFonts w:ascii="Times New Roman" w:hAnsi="Times New Roman" w:eastAsia="宋体" w:cs="Times New Roman"/>
          <w:b/>
          <w:bCs/>
          <w:color w:val="auto"/>
          <w:sz w:val="44"/>
          <w:szCs w:val="44"/>
          <w:lang w:val="en-US" w:eastAsia="zh-CN" w:bidi="ar-SA"/>
        </w:rPr>
        <w:t>项目编号：</w:t>
      </w:r>
      <w:r>
        <w:rPr>
          <w:rFonts w:hint="eastAsia" w:ascii="宋体" w:hAnsi="宋体" w:eastAsia="宋体" w:cs="宋体"/>
          <w:b/>
          <w:bCs/>
          <w:color w:val="auto"/>
          <w:sz w:val="44"/>
          <w:szCs w:val="44"/>
          <w:lang w:val="en-US" w:eastAsia="zh-CN" w:bidi="ar-SA"/>
        </w:rPr>
        <w:t>JSZC-321283-JZCG-G2025-0036</w:t>
      </w:r>
    </w:p>
    <w:p w14:paraId="4B0DFBD6">
      <w:pPr>
        <w:pStyle w:val="30"/>
        <w:spacing w:line="540" w:lineRule="exact"/>
        <w:ind w:firstLine="643" w:firstLineChars="200"/>
        <w:jc w:val="center"/>
        <w:rPr>
          <w:rFonts w:ascii="Times New Roman" w:eastAsia="宋体" w:cs="Times New Roman"/>
          <w:b/>
          <w:sz w:val="32"/>
          <w:szCs w:val="32"/>
        </w:rPr>
      </w:pPr>
    </w:p>
    <w:p w14:paraId="1742B0FA">
      <w:pPr>
        <w:pStyle w:val="30"/>
        <w:spacing w:line="540" w:lineRule="exact"/>
        <w:ind w:firstLine="643" w:firstLineChars="200"/>
        <w:jc w:val="center"/>
        <w:rPr>
          <w:rFonts w:ascii="Times New Roman" w:eastAsia="宋体" w:cs="Times New Roman"/>
          <w:b/>
          <w:sz w:val="32"/>
          <w:szCs w:val="32"/>
        </w:rPr>
      </w:pPr>
    </w:p>
    <w:p w14:paraId="54B5EB4B">
      <w:pPr>
        <w:pStyle w:val="30"/>
        <w:spacing w:line="540" w:lineRule="exact"/>
        <w:ind w:firstLine="643" w:firstLineChars="200"/>
        <w:jc w:val="center"/>
        <w:rPr>
          <w:rFonts w:ascii="Times New Roman" w:eastAsia="宋体" w:cs="Times New Roman"/>
          <w:b/>
          <w:sz w:val="32"/>
          <w:szCs w:val="32"/>
        </w:rPr>
      </w:pPr>
    </w:p>
    <w:p w14:paraId="1BFD8D5B">
      <w:pPr>
        <w:pStyle w:val="30"/>
        <w:spacing w:line="540" w:lineRule="exact"/>
        <w:ind w:firstLine="643" w:firstLineChars="200"/>
        <w:jc w:val="center"/>
        <w:rPr>
          <w:rFonts w:ascii="Times New Roman" w:eastAsia="宋体" w:cs="Times New Roman"/>
          <w:b/>
          <w:sz w:val="32"/>
          <w:szCs w:val="32"/>
        </w:rPr>
      </w:pPr>
    </w:p>
    <w:p w14:paraId="248068B0">
      <w:pPr>
        <w:pStyle w:val="30"/>
        <w:spacing w:line="540" w:lineRule="exact"/>
        <w:ind w:firstLine="643" w:firstLineChars="200"/>
        <w:jc w:val="center"/>
        <w:rPr>
          <w:rFonts w:ascii="Times New Roman" w:eastAsia="宋体" w:cs="Times New Roman"/>
          <w:b/>
          <w:sz w:val="32"/>
          <w:szCs w:val="32"/>
        </w:rPr>
      </w:pPr>
    </w:p>
    <w:p w14:paraId="5F2C0E10">
      <w:pPr>
        <w:spacing w:line="360" w:lineRule="auto"/>
        <w:ind w:firstLine="2891" w:firstLineChars="800"/>
        <w:rPr>
          <w:rFonts w:hint="eastAsia" w:eastAsia="楷体"/>
          <w:b/>
          <w:sz w:val="36"/>
          <w:szCs w:val="36"/>
        </w:rPr>
      </w:pPr>
    </w:p>
    <w:p w14:paraId="188ADF1C">
      <w:pPr>
        <w:spacing w:line="360" w:lineRule="auto"/>
        <w:ind w:firstLine="2891" w:firstLineChars="800"/>
        <w:rPr>
          <w:rFonts w:hint="eastAsia" w:eastAsia="楷体"/>
          <w:b/>
          <w:sz w:val="36"/>
          <w:szCs w:val="36"/>
        </w:rPr>
      </w:pPr>
    </w:p>
    <w:p w14:paraId="2D328AD0">
      <w:pPr>
        <w:spacing w:line="360" w:lineRule="auto"/>
        <w:jc w:val="center"/>
        <w:rPr>
          <w:rFonts w:hint="default" w:eastAsia="楷体"/>
          <w:b/>
          <w:sz w:val="36"/>
          <w:szCs w:val="36"/>
          <w:lang w:val="en-US" w:eastAsia="zh-CN"/>
        </w:rPr>
      </w:pPr>
      <w:r>
        <w:rPr>
          <w:rFonts w:hint="eastAsia" w:eastAsia="楷体"/>
          <w:b/>
          <w:sz w:val="36"/>
          <w:szCs w:val="36"/>
        </w:rPr>
        <w:t>泰兴市</w:t>
      </w:r>
      <w:r>
        <w:rPr>
          <w:rFonts w:hint="eastAsia" w:eastAsia="楷体"/>
          <w:b/>
          <w:sz w:val="36"/>
          <w:szCs w:val="36"/>
          <w:lang w:val="en-US" w:eastAsia="zh-CN"/>
        </w:rPr>
        <w:t>中</w:t>
      </w:r>
      <w:r>
        <w:rPr>
          <w:rFonts w:hint="eastAsia" w:eastAsia="楷体"/>
          <w:b/>
          <w:sz w:val="36"/>
          <w:szCs w:val="36"/>
        </w:rPr>
        <w:t>医院</w:t>
      </w:r>
      <w:r>
        <w:rPr>
          <w:rFonts w:hint="eastAsia" w:eastAsia="楷体"/>
          <w:b/>
          <w:sz w:val="36"/>
          <w:szCs w:val="36"/>
          <w:lang w:eastAsia="zh-CN"/>
        </w:rPr>
        <w:t>、</w:t>
      </w:r>
      <w:r>
        <w:rPr>
          <w:rFonts w:hint="eastAsia" w:eastAsia="楷体"/>
          <w:b/>
          <w:sz w:val="36"/>
          <w:szCs w:val="36"/>
          <w:lang w:val="en-US" w:eastAsia="zh-CN"/>
        </w:rPr>
        <w:t>妇幼保健院</w:t>
      </w:r>
    </w:p>
    <w:p w14:paraId="52862B1D">
      <w:pPr>
        <w:spacing w:line="360" w:lineRule="auto"/>
        <w:jc w:val="center"/>
        <w:rPr>
          <w:rFonts w:eastAsia="楷体"/>
          <w:b/>
          <w:sz w:val="36"/>
          <w:szCs w:val="36"/>
        </w:rPr>
      </w:pPr>
      <w:r>
        <w:rPr>
          <w:rFonts w:eastAsia="楷体"/>
          <w:b/>
          <w:sz w:val="36"/>
          <w:szCs w:val="36"/>
        </w:rPr>
        <w:t>二〇二</w:t>
      </w:r>
      <w:r>
        <w:rPr>
          <w:rFonts w:hint="eastAsia" w:eastAsia="楷体"/>
          <w:b/>
          <w:sz w:val="36"/>
          <w:szCs w:val="36"/>
          <w:lang w:val="en-US" w:eastAsia="zh-CN"/>
        </w:rPr>
        <w:t>五</w:t>
      </w:r>
      <w:r>
        <w:rPr>
          <w:rFonts w:eastAsia="楷体"/>
          <w:b/>
          <w:sz w:val="36"/>
          <w:szCs w:val="36"/>
        </w:rPr>
        <w:t>年</w:t>
      </w:r>
      <w:r>
        <w:rPr>
          <w:rFonts w:hint="eastAsia" w:eastAsia="楷体"/>
          <w:b/>
          <w:sz w:val="36"/>
          <w:szCs w:val="36"/>
          <w:lang w:val="en-US" w:eastAsia="zh-CN"/>
        </w:rPr>
        <w:t>十一</w:t>
      </w:r>
      <w:r>
        <w:rPr>
          <w:rFonts w:eastAsia="楷体"/>
          <w:b/>
          <w:sz w:val="36"/>
          <w:szCs w:val="36"/>
        </w:rPr>
        <w:t>月</w:t>
      </w:r>
    </w:p>
    <w:p w14:paraId="43564485">
      <w:pPr>
        <w:pStyle w:val="12"/>
        <w:tabs>
          <w:tab w:val="left" w:pos="3240"/>
        </w:tabs>
        <w:spacing w:line="500" w:lineRule="exact"/>
        <w:ind w:left="0" w:firstLine="0"/>
        <w:jc w:val="center"/>
        <w:outlineLvl w:val="0"/>
        <w:rPr>
          <w:rFonts w:ascii="黑体" w:hAnsi="黑体" w:eastAsia="黑体"/>
          <w:b/>
          <w:color w:val="auto"/>
        </w:rPr>
      </w:pPr>
    </w:p>
    <w:p w14:paraId="05C383B2">
      <w:pPr>
        <w:widowControl/>
        <w:jc w:val="left"/>
        <w:rPr>
          <w:rFonts w:ascii="黑体" w:hAnsi="黑体" w:eastAsia="黑体"/>
          <w:b/>
          <w:sz w:val="32"/>
          <w:szCs w:val="20"/>
        </w:rPr>
      </w:pPr>
      <w:r>
        <w:rPr>
          <w:rFonts w:ascii="黑体" w:hAnsi="黑体" w:eastAsia="黑体"/>
          <w:b/>
        </w:rPr>
        <w:br w:type="page"/>
      </w:r>
    </w:p>
    <w:p w14:paraId="4D4CED44">
      <w:pPr>
        <w:pStyle w:val="12"/>
        <w:tabs>
          <w:tab w:val="left" w:pos="3240"/>
        </w:tabs>
        <w:spacing w:line="500" w:lineRule="exact"/>
        <w:ind w:left="0" w:firstLine="0"/>
        <w:jc w:val="center"/>
        <w:outlineLvl w:val="0"/>
        <w:rPr>
          <w:rFonts w:ascii="黑体" w:hAnsi="黑体" w:eastAsia="黑体"/>
          <w:b/>
          <w:color w:val="auto"/>
        </w:rPr>
      </w:pPr>
      <w:r>
        <w:rPr>
          <w:rFonts w:hint="eastAsia" w:ascii="黑体" w:hAnsi="黑体" w:eastAsia="黑体"/>
          <w:b/>
          <w:color w:val="auto"/>
        </w:rPr>
        <w:t>第一章</w:t>
      </w:r>
      <w:r>
        <w:rPr>
          <w:rFonts w:ascii="黑体" w:hAnsi="黑体" w:eastAsia="黑体"/>
          <w:b/>
          <w:color w:val="auto"/>
        </w:rPr>
        <w:t xml:space="preserve"> </w:t>
      </w:r>
      <w:bookmarkEnd w:id="0"/>
      <w:bookmarkEnd w:id="1"/>
      <w:bookmarkEnd w:id="2"/>
      <w:bookmarkEnd w:id="3"/>
      <w:bookmarkEnd w:id="4"/>
      <w:bookmarkEnd w:id="5"/>
      <w:bookmarkEnd w:id="6"/>
      <w:bookmarkEnd w:id="7"/>
      <w:bookmarkEnd w:id="8"/>
      <w:bookmarkEnd w:id="9"/>
      <w:r>
        <w:rPr>
          <w:rFonts w:hint="eastAsia" w:ascii="黑体" w:hAnsi="黑体" w:eastAsia="黑体"/>
          <w:b/>
          <w:color w:val="auto"/>
        </w:rPr>
        <w:t xml:space="preserve">  招标公告</w:t>
      </w:r>
    </w:p>
    <w:p w14:paraId="53B777BD">
      <w:pPr>
        <w:pBdr>
          <w:top w:val="single" w:color="auto" w:sz="4" w:space="1"/>
          <w:left w:val="single" w:color="auto" w:sz="4" w:space="4"/>
          <w:bottom w:val="single" w:color="auto" w:sz="4" w:space="1"/>
          <w:right w:val="single" w:color="auto" w:sz="4" w:space="4"/>
        </w:pBdr>
        <w:spacing w:line="460" w:lineRule="exact"/>
        <w:rPr>
          <w:rFonts w:ascii="宋体"/>
          <w:kern w:val="2"/>
          <w:sz w:val="28"/>
          <w:szCs w:val="28"/>
        </w:rPr>
      </w:pPr>
      <w:r>
        <w:rPr>
          <w:rFonts w:hint="eastAsia" w:ascii="宋体" w:hAnsi="宋体"/>
          <w:kern w:val="2"/>
          <w:sz w:val="28"/>
          <w:szCs w:val="28"/>
        </w:rPr>
        <w:t>项目概况</w:t>
      </w:r>
    </w:p>
    <w:p w14:paraId="05CFBFF0">
      <w:pPr>
        <w:pBdr>
          <w:top w:val="single" w:color="auto" w:sz="4" w:space="1"/>
          <w:left w:val="single" w:color="auto" w:sz="4" w:space="4"/>
          <w:bottom w:val="single" w:color="auto" w:sz="4" w:space="1"/>
          <w:right w:val="single" w:color="auto" w:sz="4" w:space="4"/>
        </w:pBdr>
        <w:spacing w:line="460" w:lineRule="exact"/>
        <w:ind w:firstLine="560" w:firstLineChars="200"/>
        <w:rPr>
          <w:rFonts w:ascii="宋体"/>
          <w:kern w:val="2"/>
          <w:sz w:val="28"/>
          <w:szCs w:val="28"/>
        </w:rPr>
      </w:pPr>
      <w:bookmarkStart w:id="10" w:name="_Toc28359002"/>
      <w:bookmarkStart w:id="11" w:name="_Toc28359079"/>
      <w:bookmarkStart w:id="12" w:name="_Toc35393790"/>
      <w:bookmarkStart w:id="13" w:name="_Toc35393621"/>
      <w:bookmarkStart w:id="14" w:name="_Hlk24379207"/>
      <w:r>
        <w:rPr>
          <w:rFonts w:hint="eastAsia" w:ascii="宋体" w:hAnsi="宋体"/>
          <w:kern w:val="2"/>
          <w:sz w:val="28"/>
          <w:szCs w:val="28"/>
          <w:u w:val="single"/>
          <w:lang w:eastAsia="zh-CN"/>
        </w:rPr>
        <w:t>泰兴市中医院、</w:t>
      </w:r>
      <w:r>
        <w:rPr>
          <w:rFonts w:hint="eastAsia" w:ascii="宋体" w:hAnsi="宋体"/>
          <w:kern w:val="2"/>
          <w:sz w:val="28"/>
          <w:szCs w:val="28"/>
          <w:u w:val="single"/>
          <w:lang w:val="en-US" w:eastAsia="zh-CN"/>
        </w:rPr>
        <w:t>妇幼保健院</w:t>
      </w:r>
      <w:r>
        <w:rPr>
          <w:rFonts w:hint="eastAsia" w:ascii="宋体" w:hAnsi="宋体"/>
          <w:kern w:val="2"/>
          <w:sz w:val="28"/>
          <w:szCs w:val="28"/>
          <w:u w:val="single"/>
        </w:rPr>
        <w:t>物业管理服务项目</w:t>
      </w:r>
      <w:r>
        <w:rPr>
          <w:rFonts w:hint="eastAsia" w:ascii="宋体" w:hAnsi="宋体"/>
          <w:color w:val="auto"/>
          <w:kern w:val="2"/>
          <w:sz w:val="28"/>
          <w:szCs w:val="28"/>
          <w:u w:val="single"/>
        </w:rPr>
        <w:t>JSZC-321283-JZCG-G202</w:t>
      </w:r>
      <w:r>
        <w:rPr>
          <w:rFonts w:hint="eastAsia" w:ascii="宋体" w:hAnsi="宋体"/>
          <w:color w:val="auto"/>
          <w:kern w:val="2"/>
          <w:sz w:val="28"/>
          <w:szCs w:val="28"/>
          <w:u w:val="single"/>
          <w:lang w:val="en-US" w:eastAsia="zh-CN"/>
        </w:rPr>
        <w:t>5</w:t>
      </w:r>
      <w:r>
        <w:rPr>
          <w:rFonts w:hint="eastAsia" w:ascii="宋体" w:hAnsi="宋体"/>
          <w:color w:val="auto"/>
          <w:kern w:val="2"/>
          <w:sz w:val="28"/>
          <w:szCs w:val="28"/>
          <w:u w:val="single"/>
        </w:rPr>
        <w:t>-00</w:t>
      </w:r>
      <w:r>
        <w:rPr>
          <w:rFonts w:hint="eastAsia" w:ascii="宋体" w:hAnsi="宋体"/>
          <w:color w:val="auto"/>
          <w:kern w:val="2"/>
          <w:sz w:val="28"/>
          <w:szCs w:val="28"/>
          <w:u w:val="single"/>
          <w:lang w:val="en-US" w:eastAsia="zh-CN"/>
        </w:rPr>
        <w:t>36</w:t>
      </w:r>
      <w:r>
        <w:rPr>
          <w:rFonts w:hint="eastAsia" w:ascii="宋体" w:hAnsi="宋体"/>
          <w:color w:val="auto"/>
          <w:kern w:val="2"/>
          <w:sz w:val="28"/>
          <w:szCs w:val="28"/>
        </w:rPr>
        <w:t>招标项目的潜在投标人应在苏采云获取招标文件，并于202</w:t>
      </w:r>
      <w:r>
        <w:rPr>
          <w:rFonts w:hint="eastAsia" w:ascii="宋体" w:hAnsi="宋体"/>
          <w:color w:val="auto"/>
          <w:kern w:val="2"/>
          <w:sz w:val="28"/>
          <w:szCs w:val="28"/>
          <w:lang w:val="en-US" w:eastAsia="zh-CN"/>
        </w:rPr>
        <w:t>5</w:t>
      </w:r>
      <w:r>
        <w:rPr>
          <w:rFonts w:hint="eastAsia" w:ascii="宋体" w:hAnsi="宋体"/>
          <w:color w:val="auto"/>
          <w:kern w:val="2"/>
          <w:sz w:val="28"/>
          <w:szCs w:val="28"/>
        </w:rPr>
        <w:t>-</w:t>
      </w:r>
      <w:r>
        <w:rPr>
          <w:rFonts w:hint="eastAsia" w:ascii="宋体" w:hAnsi="宋体"/>
          <w:color w:val="auto"/>
          <w:kern w:val="2"/>
          <w:sz w:val="28"/>
          <w:szCs w:val="28"/>
          <w:lang w:val="en-US" w:eastAsia="zh-CN"/>
        </w:rPr>
        <w:t>12</w:t>
      </w:r>
      <w:r>
        <w:rPr>
          <w:rFonts w:hint="eastAsia" w:ascii="宋体" w:hAnsi="宋体"/>
          <w:color w:val="auto"/>
          <w:kern w:val="2"/>
          <w:sz w:val="28"/>
          <w:szCs w:val="28"/>
        </w:rPr>
        <w:t>-</w:t>
      </w:r>
      <w:r>
        <w:rPr>
          <w:rFonts w:hint="eastAsia" w:ascii="宋体" w:hAnsi="宋体"/>
          <w:color w:val="auto"/>
          <w:kern w:val="2"/>
          <w:sz w:val="28"/>
          <w:szCs w:val="28"/>
          <w:lang w:val="en-US" w:eastAsia="zh-CN"/>
        </w:rPr>
        <w:t>04</w:t>
      </w:r>
      <w:r>
        <w:rPr>
          <w:rFonts w:hint="eastAsia" w:ascii="宋体" w:hAnsi="宋体"/>
          <w:color w:val="auto"/>
          <w:kern w:val="2"/>
          <w:sz w:val="28"/>
          <w:szCs w:val="28"/>
        </w:rPr>
        <w:t xml:space="preserve">  09:00 </w:t>
      </w:r>
      <w:r>
        <w:rPr>
          <w:rFonts w:hint="eastAsia" w:ascii="宋体" w:hAnsi="宋体"/>
          <w:kern w:val="2"/>
          <w:sz w:val="28"/>
          <w:szCs w:val="28"/>
        </w:rPr>
        <w:t>（北京时间）前递交投标文件。</w:t>
      </w:r>
    </w:p>
    <w:p w14:paraId="6C8E42A8">
      <w:pPr>
        <w:spacing w:line="460" w:lineRule="exact"/>
        <w:ind w:firstLine="643" w:firstLineChars="200"/>
        <w:rPr>
          <w:rFonts w:asciiTheme="majorEastAsia" w:hAnsiTheme="majorEastAsia" w:eastAsiaTheme="majorEastAsia"/>
          <w:b/>
          <w:sz w:val="32"/>
          <w:szCs w:val="32"/>
        </w:rPr>
      </w:pPr>
      <w:r>
        <w:rPr>
          <w:rFonts w:hint="eastAsia" w:asciiTheme="majorEastAsia" w:hAnsiTheme="majorEastAsia" w:eastAsiaTheme="majorEastAsia"/>
          <w:b/>
          <w:sz w:val="32"/>
          <w:szCs w:val="32"/>
        </w:rPr>
        <w:t>一、项目基本情况</w:t>
      </w:r>
      <w:bookmarkEnd w:id="10"/>
      <w:bookmarkEnd w:id="11"/>
      <w:bookmarkEnd w:id="12"/>
      <w:bookmarkEnd w:id="13"/>
    </w:p>
    <w:p w14:paraId="5CBF6B9C">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项目编号：JSZC-321283-JZCG-G202</w:t>
      </w:r>
      <w:r>
        <w:rPr>
          <w:rFonts w:hint="eastAsia" w:asciiTheme="majorEastAsia" w:hAnsiTheme="majorEastAsia" w:eastAsiaTheme="majorEastAsia"/>
          <w:sz w:val="28"/>
          <w:szCs w:val="28"/>
          <w:lang w:val="en-US" w:eastAsia="zh-CN"/>
        </w:rPr>
        <w:t>5</w:t>
      </w:r>
      <w:r>
        <w:rPr>
          <w:rFonts w:hint="eastAsia" w:asciiTheme="majorEastAsia" w:hAnsiTheme="majorEastAsia" w:eastAsiaTheme="majorEastAsia"/>
          <w:sz w:val="28"/>
          <w:szCs w:val="28"/>
        </w:rPr>
        <w:t>-00</w:t>
      </w:r>
      <w:r>
        <w:rPr>
          <w:rFonts w:hint="eastAsia" w:asciiTheme="majorEastAsia" w:hAnsiTheme="majorEastAsia" w:eastAsiaTheme="majorEastAsia"/>
          <w:sz w:val="28"/>
          <w:szCs w:val="28"/>
          <w:lang w:val="en-US" w:eastAsia="zh-CN"/>
        </w:rPr>
        <w:t>36</w:t>
      </w:r>
    </w:p>
    <w:p w14:paraId="51C9D550">
      <w:pPr>
        <w:spacing w:line="460" w:lineRule="exact"/>
        <w:ind w:firstLine="560" w:firstLineChars="200"/>
        <w:rPr>
          <w:rFonts w:hint="eastAsia" w:ascii="宋体" w:hAnsi="宋体" w:eastAsia="宋体"/>
          <w:color w:val="000000" w:themeColor="text1"/>
          <w:kern w:val="2"/>
          <w:sz w:val="28"/>
          <w:szCs w:val="28"/>
          <w:lang w:eastAsia="zh-CN"/>
          <w14:textFill>
            <w14:solidFill>
              <w14:schemeClr w14:val="tx1"/>
            </w14:solidFill>
          </w14:textFill>
        </w:rPr>
      </w:pPr>
      <w:r>
        <w:rPr>
          <w:rFonts w:asciiTheme="majorEastAsia" w:hAnsiTheme="majorEastAsia" w:eastAsiaTheme="majorEastAsia"/>
          <w:sz w:val="28"/>
          <w:szCs w:val="28"/>
        </w:rPr>
        <w:t>项目名称：</w:t>
      </w:r>
      <w:bookmarkEnd w:id="14"/>
      <w:r>
        <w:rPr>
          <w:rFonts w:hint="eastAsia" w:ascii="宋体" w:hAnsi="宋体" w:eastAsiaTheme="majorEastAsia"/>
          <w:color w:val="000000" w:themeColor="text1"/>
          <w:kern w:val="2"/>
          <w:sz w:val="28"/>
          <w:szCs w:val="28"/>
          <w:lang w:eastAsia="zh-CN"/>
          <w14:textFill>
            <w14:solidFill>
              <w14:schemeClr w14:val="tx1"/>
            </w14:solidFill>
          </w14:textFill>
        </w:rPr>
        <w:t>泰兴市中医院、</w:t>
      </w:r>
      <w:r>
        <w:rPr>
          <w:rFonts w:hint="eastAsia" w:ascii="宋体" w:hAnsi="宋体" w:eastAsiaTheme="majorEastAsia"/>
          <w:color w:val="000000" w:themeColor="text1"/>
          <w:kern w:val="2"/>
          <w:sz w:val="28"/>
          <w:szCs w:val="28"/>
          <w:lang w:val="en-US" w:eastAsia="zh-CN"/>
          <w14:textFill>
            <w14:solidFill>
              <w14:schemeClr w14:val="tx1"/>
            </w14:solidFill>
          </w14:textFill>
        </w:rPr>
        <w:t>妇幼保健院</w:t>
      </w:r>
      <w:r>
        <w:rPr>
          <w:rFonts w:hint="eastAsia" w:ascii="宋体" w:hAnsi="宋体"/>
          <w:color w:val="000000" w:themeColor="text1"/>
          <w:kern w:val="2"/>
          <w:sz w:val="28"/>
          <w:szCs w:val="28"/>
          <w14:textFill>
            <w14:solidFill>
              <w14:schemeClr w14:val="tx1"/>
            </w14:solidFill>
          </w14:textFill>
        </w:rPr>
        <w:t>物业管理服务</w:t>
      </w:r>
      <w:r>
        <w:rPr>
          <w:rFonts w:hint="eastAsia" w:ascii="宋体" w:hAnsi="宋体"/>
          <w:color w:val="000000" w:themeColor="text1"/>
          <w:kern w:val="2"/>
          <w:sz w:val="28"/>
          <w:szCs w:val="28"/>
          <w:lang w:eastAsia="zh-CN"/>
          <w14:textFill>
            <w14:solidFill>
              <w14:schemeClr w14:val="tx1"/>
            </w14:solidFill>
          </w14:textFill>
        </w:rPr>
        <w:t>项目</w:t>
      </w:r>
    </w:p>
    <w:p w14:paraId="2CB18997">
      <w:pPr>
        <w:spacing w:line="460" w:lineRule="exact"/>
        <w:ind w:firstLine="560" w:firstLineChars="200"/>
        <w:rPr>
          <w:rFonts w:hint="eastAsia" w:ascii="宋体" w:hAnsi="宋体" w:cs="宋体" w:eastAsiaTheme="majorEastAsia"/>
          <w:color w:val="auto"/>
          <w:kern w:val="2"/>
          <w:sz w:val="28"/>
          <w:szCs w:val="28"/>
          <w:lang w:val="en-US" w:eastAsia="zh-CN"/>
        </w:rPr>
      </w:pPr>
      <w:r>
        <w:rPr>
          <w:rFonts w:asciiTheme="majorEastAsia" w:hAnsiTheme="majorEastAsia" w:eastAsiaTheme="majorEastAsia"/>
          <w:color w:val="auto"/>
          <w:sz w:val="28"/>
          <w:szCs w:val="28"/>
        </w:rPr>
        <w:t>预算金额：</w:t>
      </w:r>
      <w:r>
        <w:rPr>
          <w:rFonts w:hint="eastAsia" w:asciiTheme="majorEastAsia" w:hAnsiTheme="majorEastAsia" w:eastAsiaTheme="majorEastAsia"/>
          <w:color w:val="auto"/>
          <w:sz w:val="28"/>
          <w:szCs w:val="28"/>
          <w:lang w:val="en-US" w:eastAsia="zh-CN"/>
        </w:rPr>
        <w:t>451.81万元（其中：中医院：</w:t>
      </w:r>
      <w:r>
        <w:rPr>
          <w:rFonts w:hint="eastAsia" w:ascii="宋体" w:hAnsi="宋体" w:cs="宋体"/>
          <w:color w:val="auto"/>
          <w:sz w:val="28"/>
          <w:szCs w:val="28"/>
          <w:lang w:val="en-US" w:eastAsia="zh-CN"/>
        </w:rPr>
        <w:t>368.41万</w:t>
      </w:r>
      <w:r>
        <w:rPr>
          <w:rFonts w:hint="eastAsia" w:asciiTheme="majorEastAsia" w:hAnsiTheme="majorEastAsia" w:eastAsiaTheme="majorEastAsia"/>
          <w:color w:val="auto"/>
          <w:sz w:val="28"/>
          <w:szCs w:val="28"/>
        </w:rPr>
        <w:t>元</w:t>
      </w: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b/>
          <w:bCs/>
          <w:color w:val="auto"/>
          <w:sz w:val="28"/>
          <w:szCs w:val="28"/>
          <w:highlight w:val="none"/>
          <w:lang w:val="en-US" w:eastAsia="zh-CN"/>
        </w:rPr>
        <w:t>妇保院：</w:t>
      </w:r>
      <w:r>
        <w:rPr>
          <w:rFonts w:hint="eastAsia" w:asciiTheme="majorEastAsia" w:hAnsiTheme="majorEastAsia" w:eastAsiaTheme="majorEastAsia"/>
          <w:color w:val="auto"/>
          <w:sz w:val="28"/>
          <w:szCs w:val="28"/>
          <w:highlight w:val="none"/>
          <w:lang w:val="en-US" w:eastAsia="zh-CN"/>
        </w:rPr>
        <w:t>83.4万元</w:t>
      </w:r>
      <w:r>
        <w:rPr>
          <w:rFonts w:hint="eastAsia" w:asciiTheme="majorEastAsia" w:hAnsiTheme="majorEastAsia" w:eastAsiaTheme="majorEastAsia"/>
          <w:color w:val="auto"/>
          <w:sz w:val="28"/>
          <w:szCs w:val="28"/>
          <w:lang w:val="en-US" w:eastAsia="zh-CN"/>
        </w:rPr>
        <w:t>）</w:t>
      </w:r>
    </w:p>
    <w:p w14:paraId="59895E44">
      <w:pPr>
        <w:spacing w:line="460" w:lineRule="exact"/>
        <w:ind w:firstLine="560" w:firstLineChars="200"/>
        <w:rPr>
          <w:rFonts w:hint="eastAsia" w:asciiTheme="majorEastAsia" w:hAnsiTheme="majorEastAsia" w:eastAsiaTheme="majorEastAsia"/>
          <w:b/>
          <w:bCs/>
          <w:color w:val="FF0000"/>
          <w:sz w:val="28"/>
          <w:szCs w:val="28"/>
          <w:lang w:eastAsia="zh-CN"/>
        </w:rPr>
      </w:pPr>
      <w:r>
        <w:rPr>
          <w:rFonts w:hint="eastAsia" w:asciiTheme="majorEastAsia" w:hAnsiTheme="majorEastAsia" w:eastAsiaTheme="majorEastAsia"/>
          <w:color w:val="auto"/>
          <w:sz w:val="28"/>
          <w:szCs w:val="28"/>
        </w:rPr>
        <w:t>最高限价：</w:t>
      </w:r>
      <w:r>
        <w:rPr>
          <w:rFonts w:hint="eastAsia" w:asciiTheme="majorEastAsia" w:hAnsiTheme="majorEastAsia" w:eastAsiaTheme="majorEastAsia"/>
          <w:color w:val="FF0000"/>
          <w:sz w:val="28"/>
          <w:szCs w:val="28"/>
          <w:lang w:val="en-US" w:eastAsia="zh-CN"/>
        </w:rPr>
        <w:t>431.31万元（其中：中医院：</w:t>
      </w:r>
      <w:r>
        <w:rPr>
          <w:rFonts w:hint="eastAsia" w:ascii="宋体" w:hAnsi="宋体" w:cs="宋体"/>
          <w:color w:val="FF0000"/>
          <w:sz w:val="28"/>
          <w:szCs w:val="28"/>
          <w:lang w:val="en-US" w:eastAsia="zh-CN"/>
        </w:rPr>
        <w:t>368.41万</w:t>
      </w:r>
      <w:r>
        <w:rPr>
          <w:rFonts w:hint="eastAsia" w:asciiTheme="majorEastAsia" w:hAnsiTheme="majorEastAsia" w:eastAsiaTheme="majorEastAsia"/>
          <w:color w:val="FF0000"/>
          <w:sz w:val="28"/>
          <w:szCs w:val="28"/>
        </w:rPr>
        <w:t>元</w:t>
      </w:r>
      <w:r>
        <w:rPr>
          <w:rFonts w:hint="eastAsia" w:asciiTheme="majorEastAsia" w:hAnsiTheme="majorEastAsia" w:eastAsiaTheme="majorEastAsia"/>
          <w:color w:val="FF0000"/>
          <w:sz w:val="28"/>
          <w:szCs w:val="28"/>
          <w:lang w:eastAsia="zh-CN"/>
        </w:rPr>
        <w:t>，</w:t>
      </w:r>
      <w:r>
        <w:rPr>
          <w:rFonts w:hint="eastAsia" w:asciiTheme="majorEastAsia" w:hAnsiTheme="majorEastAsia" w:eastAsiaTheme="majorEastAsia"/>
          <w:b/>
          <w:bCs/>
          <w:color w:val="FF0000"/>
          <w:sz w:val="28"/>
          <w:szCs w:val="28"/>
          <w:highlight w:val="none"/>
          <w:lang w:val="en-US" w:eastAsia="zh-CN"/>
        </w:rPr>
        <w:t>妇保院：</w:t>
      </w:r>
      <w:r>
        <w:rPr>
          <w:rFonts w:hint="eastAsia" w:asciiTheme="majorEastAsia" w:hAnsiTheme="majorEastAsia" w:eastAsiaTheme="majorEastAsia"/>
          <w:color w:val="FF0000"/>
          <w:sz w:val="28"/>
          <w:szCs w:val="28"/>
          <w:highlight w:val="none"/>
          <w:lang w:val="en-US" w:eastAsia="zh-CN"/>
        </w:rPr>
        <w:t>62.90万元</w:t>
      </w:r>
      <w:r>
        <w:rPr>
          <w:rFonts w:hint="eastAsia" w:asciiTheme="majorEastAsia" w:hAnsiTheme="majorEastAsia" w:eastAsiaTheme="majorEastAsia"/>
          <w:color w:val="FF0000"/>
          <w:sz w:val="28"/>
          <w:szCs w:val="28"/>
          <w:lang w:val="en-US" w:eastAsia="zh-CN"/>
        </w:rPr>
        <w:t>）</w:t>
      </w:r>
      <w:r>
        <w:rPr>
          <w:rFonts w:hint="eastAsia" w:asciiTheme="majorEastAsia" w:hAnsiTheme="majorEastAsia" w:eastAsiaTheme="majorEastAsia"/>
          <w:b/>
          <w:bCs/>
          <w:color w:val="FF0000"/>
          <w:sz w:val="28"/>
          <w:szCs w:val="28"/>
          <w:lang w:eastAsia="zh-CN"/>
        </w:rPr>
        <w:t>（</w:t>
      </w:r>
      <w:r>
        <w:rPr>
          <w:rFonts w:hint="eastAsia" w:ascii="宋体" w:hAnsi="宋体" w:cs="宋体"/>
          <w:color w:val="FF0000"/>
          <w:sz w:val="28"/>
          <w:szCs w:val="28"/>
          <w:lang w:val="en-US" w:eastAsia="zh-CN"/>
        </w:rPr>
        <w:t>431.31万</w:t>
      </w:r>
      <w:r>
        <w:rPr>
          <w:rFonts w:hint="eastAsia" w:asciiTheme="majorEastAsia" w:hAnsiTheme="majorEastAsia" w:eastAsiaTheme="majorEastAsia"/>
          <w:color w:val="FF0000"/>
          <w:sz w:val="28"/>
          <w:szCs w:val="28"/>
        </w:rPr>
        <w:t>元</w:t>
      </w:r>
      <w:r>
        <w:rPr>
          <w:rFonts w:hint="eastAsia" w:asciiTheme="majorEastAsia" w:hAnsiTheme="majorEastAsia" w:eastAsiaTheme="majorEastAsia"/>
          <w:b/>
          <w:bCs/>
          <w:color w:val="FF0000"/>
          <w:sz w:val="28"/>
          <w:szCs w:val="28"/>
          <w:lang w:val="en-US" w:eastAsia="zh-CN"/>
        </w:rPr>
        <w:t>为一年的预算价，报价时按一年的价格报价,投标报价不得高于最高限价；也不得高于中医院和妇保院的最高限价</w:t>
      </w:r>
      <w:r>
        <w:rPr>
          <w:rFonts w:hint="eastAsia" w:asciiTheme="majorEastAsia" w:hAnsiTheme="majorEastAsia" w:eastAsiaTheme="majorEastAsia"/>
          <w:b/>
          <w:bCs/>
          <w:color w:val="FF0000"/>
          <w:sz w:val="28"/>
          <w:szCs w:val="28"/>
          <w:lang w:eastAsia="zh-CN"/>
        </w:rPr>
        <w:t>）。</w:t>
      </w:r>
    </w:p>
    <w:p w14:paraId="57CC1729">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采购方式：公开招标。</w:t>
      </w:r>
    </w:p>
    <w:p w14:paraId="6F37AB28">
      <w:pPr>
        <w:spacing w:line="460" w:lineRule="exact"/>
        <w:ind w:firstLine="560" w:firstLineChars="200"/>
        <w:rPr>
          <w:rFonts w:asciiTheme="majorEastAsia" w:hAnsiTheme="majorEastAsia" w:eastAsiaTheme="majorEastAsia"/>
          <w:sz w:val="28"/>
          <w:szCs w:val="28"/>
        </w:rPr>
      </w:pPr>
      <w:bookmarkStart w:id="15" w:name="_Hlk171411647"/>
      <w:r>
        <w:rPr>
          <w:rFonts w:hint="eastAsia" w:asciiTheme="majorEastAsia" w:hAnsiTheme="majorEastAsia" w:eastAsiaTheme="majorEastAsia"/>
          <w:sz w:val="28"/>
          <w:szCs w:val="28"/>
        </w:rPr>
        <w:t>技术标准和要求</w:t>
      </w:r>
      <w:bookmarkEnd w:id="15"/>
      <w:r>
        <w:rPr>
          <w:rFonts w:hint="eastAsia" w:asciiTheme="majorEastAsia" w:hAnsiTheme="majorEastAsia" w:eastAsiaTheme="majorEastAsia"/>
          <w:sz w:val="28"/>
          <w:szCs w:val="28"/>
        </w:rPr>
        <w:t>：详见招标文件第五章</w:t>
      </w:r>
      <w:r>
        <w:rPr>
          <w:rFonts w:hint="eastAsia" w:asciiTheme="majorEastAsia" w:hAnsiTheme="majorEastAsia" w:eastAsiaTheme="majorEastAsia"/>
          <w:sz w:val="28"/>
          <w:szCs w:val="28"/>
          <w:lang w:eastAsia="zh-CN"/>
        </w:rPr>
        <w:t>采购需求</w:t>
      </w:r>
      <w:r>
        <w:rPr>
          <w:rFonts w:hint="eastAsia" w:asciiTheme="majorEastAsia" w:hAnsiTheme="majorEastAsia" w:eastAsiaTheme="majorEastAsia"/>
          <w:sz w:val="28"/>
          <w:szCs w:val="28"/>
        </w:rPr>
        <w:t>。</w:t>
      </w:r>
    </w:p>
    <w:p w14:paraId="15D91313">
      <w:pPr>
        <w:spacing w:line="460" w:lineRule="exact"/>
        <w:ind w:firstLine="560" w:firstLineChars="200"/>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合同履行期限：</w:t>
      </w:r>
      <w:r>
        <w:rPr>
          <w:rFonts w:hint="eastAsia" w:ascii="宋体" w:hAnsi="宋体" w:cs="宋体"/>
          <w:color w:val="auto"/>
          <w:sz w:val="28"/>
          <w:szCs w:val="28"/>
          <w:lang w:val="en-US" w:eastAsia="zh-CN"/>
        </w:rPr>
        <w:t>服务期限</w:t>
      </w:r>
      <w:r>
        <w:rPr>
          <w:rFonts w:hint="eastAsia" w:ascii="宋体" w:hAnsi="宋体" w:cs="宋体"/>
          <w:color w:val="auto"/>
          <w:sz w:val="28"/>
          <w:szCs w:val="28"/>
        </w:rPr>
        <w:t>叁年，考核合格后每年一签</w:t>
      </w:r>
      <w:r>
        <w:rPr>
          <w:rFonts w:hint="eastAsia" w:ascii="宋体" w:hAnsi="宋体" w:cs="宋体"/>
          <w:color w:val="auto"/>
          <w:sz w:val="28"/>
          <w:szCs w:val="28"/>
          <w:lang w:eastAsia="zh-CN"/>
        </w:rPr>
        <w:t>。</w:t>
      </w:r>
    </w:p>
    <w:p w14:paraId="66143D20">
      <w:pPr>
        <w:spacing w:line="460" w:lineRule="exact"/>
        <w:ind w:firstLine="560" w:firstLineChars="200"/>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本项目（是/否）接受联合体投标：</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不</w:t>
      </w:r>
      <w:r>
        <w:rPr>
          <w:rFonts w:hint="eastAsia" w:asciiTheme="majorEastAsia" w:hAnsiTheme="majorEastAsia" w:eastAsiaTheme="majorEastAsia"/>
          <w:color w:val="000000" w:themeColor="text1"/>
          <w:sz w:val="28"/>
          <w:szCs w:val="28"/>
          <w14:textFill>
            <w14:solidFill>
              <w14:schemeClr w14:val="tx1"/>
            </w14:solidFill>
          </w14:textFill>
        </w:rPr>
        <w:t>接受联合体投标。</w:t>
      </w:r>
    </w:p>
    <w:p w14:paraId="130C4AE0">
      <w:pPr>
        <w:spacing w:line="460" w:lineRule="exact"/>
        <w:ind w:firstLine="643" w:firstLineChars="200"/>
        <w:rPr>
          <w:rFonts w:asciiTheme="majorEastAsia" w:hAnsiTheme="majorEastAsia" w:eastAsiaTheme="majorEastAsia"/>
          <w:b/>
          <w:sz w:val="32"/>
          <w:szCs w:val="32"/>
        </w:rPr>
      </w:pPr>
      <w:bookmarkStart w:id="16" w:name="_Toc35393622"/>
      <w:bookmarkStart w:id="17" w:name="_Toc35393791"/>
      <w:bookmarkStart w:id="18" w:name="_Toc28359003"/>
      <w:bookmarkStart w:id="19" w:name="_Toc28359080"/>
      <w:r>
        <w:rPr>
          <w:rFonts w:hint="eastAsia" w:asciiTheme="majorEastAsia" w:hAnsiTheme="majorEastAsia" w:eastAsiaTheme="majorEastAsia"/>
          <w:b/>
          <w:sz w:val="32"/>
          <w:szCs w:val="32"/>
        </w:rPr>
        <w:t>二、申请人的资格要求：</w:t>
      </w:r>
      <w:bookmarkEnd w:id="16"/>
      <w:bookmarkEnd w:id="17"/>
      <w:bookmarkEnd w:id="18"/>
      <w:bookmarkEnd w:id="19"/>
    </w:p>
    <w:p w14:paraId="26DE1839">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（一）满足《中华人民共和国政府采购法》第二十二条规定；</w:t>
      </w:r>
    </w:p>
    <w:p w14:paraId="7E67770B">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基本资格条件的承诺（根据供应商提供的承诺函，内容完整且具有法人及法定代表人的印章）。</w:t>
      </w:r>
    </w:p>
    <w:p w14:paraId="19F7AF21">
      <w:pPr>
        <w:spacing w:line="460" w:lineRule="exact"/>
        <w:ind w:firstLine="560" w:firstLineChars="200"/>
        <w:rPr>
          <w:rFonts w:asciiTheme="majorEastAsia" w:hAnsiTheme="majorEastAsia" w:eastAsiaTheme="majorEastAsia"/>
          <w:sz w:val="28"/>
          <w:szCs w:val="28"/>
        </w:rPr>
      </w:pPr>
      <w:bookmarkStart w:id="20" w:name="_Toc28359004"/>
      <w:bookmarkStart w:id="21" w:name="_Toc28359081"/>
      <w:r>
        <w:rPr>
          <w:rFonts w:hint="eastAsia" w:asciiTheme="majorEastAsia" w:hAnsiTheme="majorEastAsia" w:eastAsiaTheme="majorEastAsia"/>
          <w:sz w:val="28"/>
          <w:szCs w:val="28"/>
        </w:rPr>
        <w:t>（二）落实政府采购政策需满足的资格要求：本项目为非专门面向中小企业的项目。</w:t>
      </w:r>
    </w:p>
    <w:bookmarkEnd w:id="20"/>
    <w:bookmarkEnd w:id="21"/>
    <w:p w14:paraId="2F25C8F9">
      <w:pPr>
        <w:spacing w:line="460" w:lineRule="exact"/>
        <w:ind w:firstLine="560" w:firstLineChars="200"/>
        <w:rPr>
          <w:rFonts w:asciiTheme="majorEastAsia" w:hAnsiTheme="majorEastAsia" w:eastAsiaTheme="majorEastAsia"/>
          <w:sz w:val="28"/>
          <w:szCs w:val="28"/>
        </w:rPr>
      </w:pPr>
      <w:bookmarkStart w:id="22" w:name="_Toc35393796"/>
      <w:bookmarkStart w:id="23" w:name="_Toc28359008"/>
      <w:bookmarkStart w:id="24" w:name="_Toc28359085"/>
      <w:bookmarkStart w:id="25" w:name="_Toc35393627"/>
      <w:r>
        <w:rPr>
          <w:rFonts w:hint="eastAsia" w:asciiTheme="majorEastAsia" w:hAnsiTheme="majorEastAsia" w:eastAsiaTheme="majorEastAsia"/>
          <w:sz w:val="28"/>
          <w:szCs w:val="28"/>
        </w:rPr>
        <w:t>（三）本项目的特定资格要求：无</w:t>
      </w:r>
      <w:r>
        <w:rPr>
          <w:rFonts w:asciiTheme="majorEastAsia" w:hAnsiTheme="majorEastAsia" w:eastAsiaTheme="majorEastAsia"/>
          <w:sz w:val="28"/>
          <w:szCs w:val="28"/>
        </w:rPr>
        <w:t xml:space="preserve"> </w:t>
      </w:r>
    </w:p>
    <w:p w14:paraId="3313278B">
      <w:pPr>
        <w:spacing w:line="460" w:lineRule="exact"/>
        <w:ind w:firstLine="643" w:firstLineChars="200"/>
        <w:rPr>
          <w:rFonts w:asciiTheme="majorEastAsia" w:hAnsiTheme="majorEastAsia" w:eastAsiaTheme="majorEastAsia"/>
          <w:b/>
          <w:sz w:val="32"/>
          <w:szCs w:val="32"/>
        </w:rPr>
      </w:pPr>
      <w:r>
        <w:rPr>
          <w:rFonts w:hint="eastAsia" w:asciiTheme="majorEastAsia" w:hAnsiTheme="majorEastAsia" w:eastAsiaTheme="majorEastAsia"/>
          <w:b/>
          <w:sz w:val="32"/>
          <w:szCs w:val="32"/>
        </w:rPr>
        <w:t>三、获取招标文件</w:t>
      </w:r>
    </w:p>
    <w:p w14:paraId="1E25E46C">
      <w:pPr>
        <w:spacing w:line="460" w:lineRule="exact"/>
        <w:ind w:firstLine="560" w:firstLineChars="200"/>
        <w:rPr>
          <w:rFonts w:asciiTheme="majorEastAsia" w:hAnsiTheme="majorEastAsia" w:eastAsiaTheme="majorEastAsia"/>
          <w:color w:val="FF0000"/>
          <w:sz w:val="28"/>
          <w:szCs w:val="28"/>
        </w:rPr>
      </w:pPr>
      <w:r>
        <w:rPr>
          <w:rFonts w:hint="eastAsia" w:asciiTheme="majorEastAsia" w:hAnsiTheme="majorEastAsia" w:eastAsiaTheme="majorEastAsia"/>
          <w:sz w:val="28"/>
          <w:szCs w:val="28"/>
        </w:rPr>
        <w:t>时间：</w:t>
      </w:r>
      <w:r>
        <w:rPr>
          <w:rFonts w:hint="eastAsia" w:ascii="宋体" w:hAnsi="宋体" w:cs="宋体"/>
          <w:sz w:val="28"/>
          <w:szCs w:val="28"/>
        </w:rPr>
        <w:t>自招标文件公告发布之日起5个工作日</w:t>
      </w:r>
      <w:r>
        <w:rPr>
          <w:rFonts w:hint="eastAsia" w:asciiTheme="majorEastAsia" w:hAnsiTheme="majorEastAsia" w:eastAsiaTheme="majorEastAsia"/>
          <w:color w:val="FF0000"/>
          <w:sz w:val="28"/>
          <w:szCs w:val="28"/>
        </w:rPr>
        <w:t xml:space="preserve"> </w:t>
      </w:r>
    </w:p>
    <w:p w14:paraId="6EFD72BA">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地点：“苏采云”政府采购一体化平台</w:t>
      </w:r>
    </w:p>
    <w:p w14:paraId="0C19D741">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方式：线上获取</w:t>
      </w:r>
    </w:p>
    <w:p w14:paraId="5B164F86">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售价：0.00元</w:t>
      </w:r>
    </w:p>
    <w:p w14:paraId="4C4585FF">
      <w:pPr>
        <w:spacing w:line="460" w:lineRule="exact"/>
        <w:ind w:firstLine="643" w:firstLineChars="200"/>
        <w:rPr>
          <w:rFonts w:asciiTheme="majorEastAsia" w:hAnsiTheme="majorEastAsia" w:eastAsiaTheme="majorEastAsia"/>
          <w:b/>
          <w:sz w:val="32"/>
          <w:szCs w:val="32"/>
        </w:rPr>
      </w:pPr>
      <w:bookmarkStart w:id="26" w:name="_Toc28359082"/>
      <w:bookmarkStart w:id="27" w:name="_Toc28359005"/>
      <w:bookmarkStart w:id="28" w:name="_Toc35393624"/>
      <w:bookmarkStart w:id="29" w:name="_Toc35393793"/>
      <w:r>
        <w:rPr>
          <w:rFonts w:hint="eastAsia" w:asciiTheme="majorEastAsia" w:hAnsiTheme="majorEastAsia" w:eastAsiaTheme="majorEastAsia"/>
          <w:b/>
          <w:sz w:val="32"/>
          <w:szCs w:val="32"/>
        </w:rPr>
        <w:t>四、提交投标文件</w:t>
      </w:r>
      <w:bookmarkEnd w:id="26"/>
      <w:bookmarkEnd w:id="27"/>
      <w:r>
        <w:rPr>
          <w:rFonts w:hint="eastAsia" w:asciiTheme="majorEastAsia" w:hAnsiTheme="majorEastAsia" w:eastAsiaTheme="majorEastAsia"/>
          <w:b/>
          <w:sz w:val="32"/>
          <w:szCs w:val="32"/>
        </w:rPr>
        <w:t>截止时间、开标时间和地点</w:t>
      </w:r>
      <w:bookmarkEnd w:id="28"/>
      <w:bookmarkEnd w:id="29"/>
    </w:p>
    <w:p w14:paraId="5FF81644">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color w:val="auto"/>
          <w:sz w:val="28"/>
          <w:szCs w:val="28"/>
        </w:rPr>
        <w:t>202</w:t>
      </w:r>
      <w:r>
        <w:rPr>
          <w:rFonts w:hint="eastAsia" w:asciiTheme="majorEastAsia" w:hAnsiTheme="majorEastAsia" w:eastAsiaTheme="majorEastAsia"/>
          <w:color w:val="auto"/>
          <w:sz w:val="28"/>
          <w:szCs w:val="28"/>
          <w:lang w:val="en-US" w:eastAsia="zh-CN"/>
        </w:rPr>
        <w:t>5</w:t>
      </w:r>
      <w:r>
        <w:rPr>
          <w:rFonts w:hint="eastAsia" w:asciiTheme="majorEastAsia" w:hAnsiTheme="majorEastAsia" w:eastAsiaTheme="majorEastAsia"/>
          <w:color w:val="auto"/>
          <w:sz w:val="28"/>
          <w:szCs w:val="28"/>
        </w:rPr>
        <w:t>-</w:t>
      </w:r>
      <w:r>
        <w:rPr>
          <w:rFonts w:hint="eastAsia" w:asciiTheme="majorEastAsia" w:hAnsiTheme="majorEastAsia" w:eastAsiaTheme="majorEastAsia"/>
          <w:color w:val="auto"/>
          <w:sz w:val="28"/>
          <w:szCs w:val="28"/>
          <w:lang w:val="en-US" w:eastAsia="zh-CN"/>
        </w:rPr>
        <w:t>12</w:t>
      </w:r>
      <w:r>
        <w:rPr>
          <w:rFonts w:hint="eastAsia" w:asciiTheme="majorEastAsia" w:hAnsiTheme="majorEastAsia" w:eastAsiaTheme="majorEastAsia"/>
          <w:color w:val="auto"/>
          <w:sz w:val="28"/>
          <w:szCs w:val="28"/>
        </w:rPr>
        <w:t>-</w:t>
      </w:r>
      <w:r>
        <w:rPr>
          <w:rFonts w:hint="eastAsia" w:asciiTheme="majorEastAsia" w:hAnsiTheme="majorEastAsia" w:eastAsiaTheme="majorEastAsia"/>
          <w:color w:val="auto"/>
          <w:sz w:val="28"/>
          <w:szCs w:val="28"/>
          <w:lang w:val="en-US" w:eastAsia="zh-CN"/>
        </w:rPr>
        <w:t>04</w:t>
      </w:r>
      <w:r>
        <w:rPr>
          <w:rFonts w:hint="eastAsia" w:asciiTheme="majorEastAsia" w:hAnsiTheme="majorEastAsia" w:eastAsiaTheme="majorEastAsia"/>
          <w:color w:val="auto"/>
          <w:sz w:val="28"/>
          <w:szCs w:val="28"/>
        </w:rPr>
        <w:t xml:space="preserve">  09:00 （北京</w:t>
      </w:r>
      <w:r>
        <w:rPr>
          <w:rFonts w:hint="eastAsia" w:asciiTheme="majorEastAsia" w:hAnsiTheme="majorEastAsia" w:eastAsiaTheme="majorEastAsia"/>
          <w:sz w:val="28"/>
          <w:szCs w:val="28"/>
        </w:rPr>
        <w:t>时间）</w:t>
      </w:r>
    </w:p>
    <w:p w14:paraId="0BAE2583">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地点：“苏采云”政府采购一体化平台</w:t>
      </w:r>
    </w:p>
    <w:p w14:paraId="5CED0192">
      <w:pPr>
        <w:spacing w:line="460" w:lineRule="exact"/>
        <w:ind w:firstLine="643" w:firstLineChars="200"/>
        <w:rPr>
          <w:rFonts w:asciiTheme="majorEastAsia" w:hAnsiTheme="majorEastAsia" w:eastAsiaTheme="majorEastAsia"/>
          <w:b/>
          <w:sz w:val="32"/>
          <w:szCs w:val="32"/>
        </w:rPr>
      </w:pPr>
      <w:bookmarkStart w:id="30" w:name="_Toc35393625"/>
      <w:bookmarkStart w:id="31" w:name="_Toc28359084"/>
      <w:bookmarkStart w:id="32" w:name="_Toc35393794"/>
      <w:bookmarkStart w:id="33" w:name="_Toc28359007"/>
      <w:r>
        <w:rPr>
          <w:rFonts w:hint="eastAsia" w:asciiTheme="majorEastAsia" w:hAnsiTheme="majorEastAsia" w:eastAsiaTheme="majorEastAsia"/>
          <w:b/>
          <w:sz w:val="32"/>
          <w:szCs w:val="32"/>
        </w:rPr>
        <w:t>五、公告期限</w:t>
      </w:r>
      <w:bookmarkEnd w:id="30"/>
      <w:bookmarkEnd w:id="31"/>
      <w:bookmarkEnd w:id="32"/>
      <w:bookmarkEnd w:id="33"/>
    </w:p>
    <w:p w14:paraId="303B5495">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自本公告发布之日起</w:t>
      </w:r>
      <w:r>
        <w:rPr>
          <w:rFonts w:asciiTheme="majorEastAsia" w:hAnsiTheme="majorEastAsia" w:eastAsiaTheme="majorEastAsia"/>
          <w:sz w:val="28"/>
          <w:szCs w:val="28"/>
        </w:rPr>
        <w:t>5</w:t>
      </w:r>
      <w:r>
        <w:rPr>
          <w:rFonts w:hint="eastAsia" w:asciiTheme="majorEastAsia" w:hAnsiTheme="majorEastAsia" w:eastAsiaTheme="majorEastAsia"/>
          <w:sz w:val="28"/>
          <w:szCs w:val="28"/>
        </w:rPr>
        <w:t>个工作日。</w:t>
      </w:r>
    </w:p>
    <w:p w14:paraId="71636F1E">
      <w:pPr>
        <w:spacing w:line="460" w:lineRule="exact"/>
        <w:ind w:firstLine="643" w:firstLineChars="200"/>
        <w:rPr>
          <w:rFonts w:asciiTheme="majorEastAsia" w:hAnsiTheme="majorEastAsia" w:eastAsiaTheme="majorEastAsia"/>
          <w:b/>
          <w:sz w:val="32"/>
          <w:szCs w:val="32"/>
        </w:rPr>
      </w:pPr>
      <w:bookmarkStart w:id="34" w:name="_Toc35393795"/>
      <w:bookmarkStart w:id="35" w:name="_Toc35393626"/>
      <w:r>
        <w:rPr>
          <w:rFonts w:hint="eastAsia" w:asciiTheme="majorEastAsia" w:hAnsiTheme="majorEastAsia" w:eastAsiaTheme="majorEastAsia"/>
          <w:b/>
          <w:sz w:val="32"/>
          <w:szCs w:val="32"/>
        </w:rPr>
        <w:t>六、其他补充事宜</w:t>
      </w:r>
      <w:bookmarkEnd w:id="34"/>
      <w:bookmarkEnd w:id="35"/>
    </w:p>
    <w:p w14:paraId="7BB20271">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1.</w:t>
      </w:r>
      <w:r>
        <w:rPr>
          <w:rFonts w:hint="eastAsia" w:asciiTheme="majorEastAsia" w:hAnsiTheme="majorEastAsia" w:eastAsiaTheme="majorEastAsia"/>
          <w:sz w:val="28"/>
          <w:szCs w:val="28"/>
        </w:rPr>
        <w:t>投标保证金：无。</w:t>
      </w:r>
    </w:p>
    <w:p w14:paraId="158F9C95">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2.</w:t>
      </w:r>
      <w:r>
        <w:rPr>
          <w:rFonts w:hint="eastAsia"/>
          <w:b/>
          <w:color w:val="FF0000"/>
        </w:rPr>
        <w:t xml:space="preserve"> </w:t>
      </w:r>
      <w:r>
        <w:rPr>
          <w:rFonts w:hint="eastAsia" w:asciiTheme="majorEastAsia" w:hAnsiTheme="majorEastAsia" w:eastAsiaTheme="majorEastAsia"/>
          <w:b/>
          <w:color w:val="FF0000"/>
          <w:sz w:val="28"/>
          <w:szCs w:val="28"/>
        </w:rPr>
        <w:t>注意事项：</w:t>
      </w:r>
    </w:p>
    <w:p w14:paraId="6A814496">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7F69061D">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141CB266">
      <w:pPr>
        <w:spacing w:line="460" w:lineRule="exact"/>
        <w:ind w:firstLine="562" w:firstLineChars="200"/>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（3）有关本次招标的事项若存在变动或修改，敬请及时关注“江苏政府采购网”发布的更正公告。</w:t>
      </w:r>
    </w:p>
    <w:p w14:paraId="4B4F0AB8">
      <w:pPr>
        <w:spacing w:line="460" w:lineRule="exact"/>
        <w:rPr>
          <w:rFonts w:asciiTheme="majorEastAsia" w:hAnsiTheme="majorEastAsia" w:eastAsiaTheme="majorEastAsia"/>
          <w:sz w:val="28"/>
          <w:szCs w:val="28"/>
        </w:rPr>
      </w:pPr>
      <w:r>
        <w:rPr>
          <w:rFonts w:hint="eastAsia" w:asciiTheme="majorEastAsia" w:hAnsiTheme="majorEastAsia" w:eastAsiaTheme="majorEastAsia"/>
          <w:b/>
          <w:color w:val="FF0000"/>
          <w:sz w:val="28"/>
          <w:szCs w:val="28"/>
        </w:rPr>
        <w:t>如潜在投标人未按上述要求操作，将自行承担所产生的风险。</w:t>
      </w:r>
    </w:p>
    <w:p w14:paraId="1B873C8C">
      <w:pPr>
        <w:spacing w:line="460" w:lineRule="exact"/>
        <w:ind w:firstLine="643" w:firstLineChars="200"/>
        <w:rPr>
          <w:rFonts w:asciiTheme="majorEastAsia" w:hAnsiTheme="majorEastAsia" w:eastAsiaTheme="majorEastAsia"/>
          <w:sz w:val="28"/>
          <w:szCs w:val="28"/>
        </w:rPr>
      </w:pPr>
      <w:r>
        <w:rPr>
          <w:rFonts w:hint="eastAsia" w:asciiTheme="majorEastAsia" w:hAnsiTheme="majorEastAsia" w:eastAsiaTheme="majorEastAsia"/>
          <w:b/>
          <w:sz w:val="32"/>
          <w:szCs w:val="32"/>
        </w:rPr>
        <w:t>七、对本次招标提出询问，请按以下方式联系。</w:t>
      </w:r>
      <w:bookmarkEnd w:id="22"/>
      <w:bookmarkEnd w:id="23"/>
      <w:bookmarkEnd w:id="24"/>
      <w:bookmarkEnd w:id="25"/>
    </w:p>
    <w:p w14:paraId="682F9D0B">
      <w:pPr>
        <w:widowControl/>
        <w:spacing w:line="460" w:lineRule="exact"/>
        <w:ind w:firstLine="560" w:firstLineChars="200"/>
        <w:jc w:val="left"/>
        <w:rPr>
          <w:rFonts w:ascii="宋体"/>
          <w:kern w:val="2"/>
          <w:sz w:val="28"/>
          <w:szCs w:val="28"/>
        </w:rPr>
      </w:pPr>
      <w:bookmarkStart w:id="36" w:name="_Toc28359009"/>
      <w:bookmarkStart w:id="37" w:name="_Toc28359086"/>
      <w:r>
        <w:rPr>
          <w:rFonts w:ascii="宋体" w:hAnsi="宋体" w:cs="宋体"/>
          <w:kern w:val="2"/>
          <w:sz w:val="28"/>
          <w:szCs w:val="28"/>
        </w:rPr>
        <w:t>1.</w:t>
      </w:r>
      <w:r>
        <w:rPr>
          <w:rFonts w:hint="eastAsia" w:ascii="宋体" w:hAnsi="宋体" w:cs="宋体"/>
          <w:kern w:val="2"/>
          <w:sz w:val="28"/>
          <w:szCs w:val="28"/>
        </w:rPr>
        <w:t>采购人信息</w:t>
      </w:r>
    </w:p>
    <w:p w14:paraId="69217747">
      <w:pPr>
        <w:widowControl/>
        <w:spacing w:line="460" w:lineRule="exact"/>
        <w:ind w:firstLine="560" w:firstLineChars="200"/>
        <w:jc w:val="left"/>
        <w:rPr>
          <w:rFonts w:ascii="宋体" w:hAnsi="宋体" w:cs="宋体"/>
          <w:kern w:val="2"/>
          <w:sz w:val="28"/>
          <w:szCs w:val="28"/>
          <w:u w:val="single"/>
        </w:rPr>
      </w:pPr>
      <w:r>
        <w:rPr>
          <w:rFonts w:hint="eastAsia" w:ascii="宋体" w:hAnsi="宋体" w:cs="宋体"/>
          <w:kern w:val="2"/>
          <w:sz w:val="28"/>
          <w:szCs w:val="28"/>
        </w:rPr>
        <w:t>名 称：</w:t>
      </w:r>
      <w:r>
        <w:rPr>
          <w:rFonts w:hint="eastAsia" w:ascii="宋体" w:hAnsi="宋体" w:cs="宋体"/>
          <w:kern w:val="2"/>
          <w:sz w:val="28"/>
          <w:szCs w:val="28"/>
          <w:lang w:val="zh-CN"/>
        </w:rPr>
        <w:t>泰兴市中医院</w:t>
      </w:r>
    </w:p>
    <w:p w14:paraId="466EF3C9">
      <w:pPr>
        <w:widowControl/>
        <w:spacing w:line="460" w:lineRule="exact"/>
        <w:ind w:firstLine="560" w:firstLineChars="200"/>
        <w:jc w:val="left"/>
        <w:rPr>
          <w:rFonts w:hint="eastAsia" w:ascii="宋体" w:hAnsi="宋体" w:cs="宋体"/>
          <w:kern w:val="2"/>
          <w:sz w:val="28"/>
          <w:szCs w:val="28"/>
          <w:lang w:eastAsia="zh-CN"/>
        </w:rPr>
      </w:pPr>
      <w:r>
        <w:rPr>
          <w:rFonts w:hint="eastAsia" w:ascii="宋体" w:hAnsi="宋体" w:cs="宋体"/>
          <w:kern w:val="2"/>
          <w:sz w:val="28"/>
          <w:szCs w:val="28"/>
        </w:rPr>
        <w:t>地 址：</w:t>
      </w:r>
      <w:r>
        <w:rPr>
          <w:rFonts w:hint="eastAsia" w:ascii="宋体" w:hAnsi="宋体" w:cs="宋体"/>
          <w:kern w:val="2"/>
          <w:sz w:val="28"/>
          <w:szCs w:val="28"/>
          <w:lang w:eastAsia="zh-CN"/>
        </w:rPr>
        <w:t>泰兴市银兴东路1号</w:t>
      </w:r>
    </w:p>
    <w:p w14:paraId="5F7B2762">
      <w:pPr>
        <w:widowControl/>
        <w:spacing w:line="460" w:lineRule="exact"/>
        <w:ind w:firstLine="560" w:firstLineChars="200"/>
        <w:jc w:val="left"/>
        <w:rPr>
          <w:rFonts w:asciiTheme="majorEastAsia" w:hAnsiTheme="majorEastAsia" w:eastAsiaTheme="majorEastAsia"/>
          <w:sz w:val="28"/>
          <w:szCs w:val="28"/>
        </w:rPr>
      </w:pPr>
      <w:r>
        <w:rPr>
          <w:rFonts w:hint="eastAsia" w:ascii="宋体" w:hAnsi="宋体" w:cs="宋体"/>
          <w:kern w:val="2"/>
          <w:sz w:val="28"/>
          <w:szCs w:val="28"/>
        </w:rPr>
        <w:t>联系方式：0523-</w:t>
      </w:r>
      <w:r>
        <w:rPr>
          <w:rFonts w:hint="eastAsia" w:ascii="宋体" w:hAnsi="宋体" w:cs="宋体"/>
          <w:kern w:val="2"/>
          <w:sz w:val="28"/>
          <w:szCs w:val="28"/>
          <w:lang w:eastAsia="zh-CN"/>
        </w:rPr>
        <w:t>87900059</w:t>
      </w:r>
      <w:r>
        <w:rPr>
          <w:rFonts w:hint="eastAsia" w:asciiTheme="majorEastAsia" w:hAnsiTheme="majorEastAsia" w:eastAsiaTheme="majorEastAsia"/>
          <w:sz w:val="28"/>
          <w:szCs w:val="28"/>
        </w:rPr>
        <w:t xml:space="preserve">   </w:t>
      </w:r>
    </w:p>
    <w:p w14:paraId="10C98D45">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2.</w:t>
      </w:r>
      <w:r>
        <w:rPr>
          <w:rFonts w:hint="eastAsia" w:asciiTheme="majorEastAsia" w:hAnsiTheme="majorEastAsia" w:eastAsiaTheme="majorEastAsia"/>
          <w:sz w:val="28"/>
          <w:szCs w:val="28"/>
        </w:rPr>
        <w:t>采购代理机构信息</w:t>
      </w:r>
      <w:bookmarkEnd w:id="36"/>
      <w:bookmarkEnd w:id="37"/>
    </w:p>
    <w:p w14:paraId="6D363D27">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称：泰兴市公共资源交易中心</w:t>
      </w:r>
    </w:p>
    <w:p w14:paraId="1FF3871E">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地　址：泰兴市文昌东路</w:t>
      </w:r>
      <w:r>
        <w:rPr>
          <w:rFonts w:asciiTheme="majorEastAsia" w:hAnsiTheme="majorEastAsia" w:eastAsiaTheme="majorEastAsia"/>
          <w:sz w:val="28"/>
          <w:szCs w:val="28"/>
        </w:rPr>
        <w:t>62</w:t>
      </w:r>
      <w:r>
        <w:rPr>
          <w:rFonts w:hint="eastAsia" w:asciiTheme="majorEastAsia" w:hAnsiTheme="majorEastAsia" w:eastAsiaTheme="majorEastAsia"/>
          <w:sz w:val="28"/>
          <w:szCs w:val="28"/>
        </w:rPr>
        <w:t>号四楼</w:t>
      </w:r>
      <w:r>
        <w:rPr>
          <w:rFonts w:asciiTheme="majorEastAsia" w:hAnsiTheme="majorEastAsia" w:eastAsiaTheme="majorEastAsia"/>
          <w:sz w:val="28"/>
          <w:szCs w:val="28"/>
        </w:rPr>
        <w:t>406</w:t>
      </w:r>
      <w:r>
        <w:rPr>
          <w:rFonts w:hint="eastAsia" w:asciiTheme="majorEastAsia" w:hAnsiTheme="majorEastAsia" w:eastAsiaTheme="majorEastAsia"/>
          <w:sz w:val="28"/>
          <w:szCs w:val="28"/>
        </w:rPr>
        <w:t>室</w:t>
      </w:r>
    </w:p>
    <w:p w14:paraId="3C629E10">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联系方式：</w:t>
      </w:r>
      <w:bookmarkStart w:id="38" w:name="_Toc28359010"/>
      <w:bookmarkStart w:id="39" w:name="_Toc28359087"/>
      <w:r>
        <w:rPr>
          <w:rFonts w:asciiTheme="majorEastAsia" w:hAnsiTheme="majorEastAsia" w:eastAsiaTheme="majorEastAsia"/>
          <w:sz w:val="28"/>
          <w:szCs w:val="28"/>
        </w:rPr>
        <w:t xml:space="preserve"> 0523-87654122</w:t>
      </w:r>
      <w:r>
        <w:rPr>
          <w:rFonts w:hint="eastAsia" w:asciiTheme="majorEastAsia" w:hAnsiTheme="majorEastAsia" w:eastAsiaTheme="majorEastAsia"/>
          <w:sz w:val="28"/>
          <w:szCs w:val="28"/>
        </w:rPr>
        <w:t xml:space="preserve">             </w:t>
      </w:r>
    </w:p>
    <w:bookmarkEnd w:id="38"/>
    <w:bookmarkEnd w:id="39"/>
    <w:p w14:paraId="14C94C1F">
      <w:pPr>
        <w:spacing w:line="460" w:lineRule="exact"/>
        <w:ind w:firstLine="560" w:firstLineChars="200"/>
        <w:rPr>
          <w:rFonts w:asciiTheme="majorEastAsia" w:hAnsiTheme="majorEastAsia" w:eastAsiaTheme="majorEastAsia"/>
          <w:sz w:val="28"/>
          <w:szCs w:val="28"/>
        </w:rPr>
      </w:pPr>
      <w:r>
        <w:rPr>
          <w:rFonts w:asciiTheme="majorEastAsia" w:hAnsiTheme="majorEastAsia" w:eastAsiaTheme="majorEastAsia"/>
          <w:sz w:val="28"/>
          <w:szCs w:val="28"/>
        </w:rPr>
        <w:t>3.</w:t>
      </w:r>
      <w:r>
        <w:rPr>
          <w:rFonts w:hint="eastAsia" w:asciiTheme="majorEastAsia" w:hAnsiTheme="majorEastAsia" w:eastAsiaTheme="majorEastAsia"/>
          <w:sz w:val="28"/>
          <w:szCs w:val="28"/>
        </w:rPr>
        <w:t>项目联系方式</w:t>
      </w:r>
    </w:p>
    <w:p w14:paraId="62732C89">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项目联系人：</w:t>
      </w:r>
      <w:r>
        <w:rPr>
          <w:rFonts w:hint="eastAsia" w:ascii="宋体" w:hAnsi="宋体" w:cs="宋体" w:eastAsiaTheme="majorEastAsia"/>
          <w:kern w:val="2"/>
          <w:sz w:val="28"/>
          <w:szCs w:val="28"/>
          <w:lang w:eastAsia="zh-CN"/>
        </w:rPr>
        <w:t>泰兴市中医院</w:t>
      </w:r>
      <w:r>
        <w:rPr>
          <w:rFonts w:hint="eastAsia" w:ascii="宋体" w:hAnsi="宋体" w:cs="宋体"/>
          <w:kern w:val="2"/>
          <w:sz w:val="28"/>
          <w:szCs w:val="28"/>
        </w:rPr>
        <w:t xml:space="preserve">  </w:t>
      </w:r>
      <w:r>
        <w:rPr>
          <w:rFonts w:hint="eastAsia" w:ascii="宋体" w:hAnsi="宋体" w:cs="宋体"/>
          <w:kern w:val="2"/>
          <w:sz w:val="28"/>
          <w:szCs w:val="28"/>
          <w:lang w:eastAsia="zh-CN"/>
        </w:rPr>
        <w:t>朱先生</w:t>
      </w:r>
      <w:r>
        <w:rPr>
          <w:rFonts w:hint="eastAsia" w:asciiTheme="majorEastAsia" w:hAnsiTheme="majorEastAsia" w:eastAsiaTheme="majorEastAsia"/>
          <w:sz w:val="28"/>
          <w:szCs w:val="28"/>
        </w:rPr>
        <w:t xml:space="preserve"> </w:t>
      </w:r>
    </w:p>
    <w:p w14:paraId="2A9286D0">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电　话： 0523-</w:t>
      </w:r>
      <w:r>
        <w:rPr>
          <w:rFonts w:hint="eastAsia" w:asciiTheme="majorEastAsia" w:hAnsiTheme="majorEastAsia" w:eastAsiaTheme="majorEastAsia"/>
          <w:sz w:val="28"/>
          <w:szCs w:val="28"/>
          <w:lang w:eastAsia="zh-CN"/>
        </w:rPr>
        <w:t>87900059</w:t>
      </w:r>
      <w:r>
        <w:rPr>
          <w:rFonts w:hint="eastAsia" w:asciiTheme="majorEastAsia" w:hAnsiTheme="majorEastAsia" w:eastAsiaTheme="majorEastAsia"/>
          <w:sz w:val="28"/>
          <w:szCs w:val="28"/>
        </w:rPr>
        <w:t xml:space="preserve">    </w:t>
      </w:r>
    </w:p>
    <w:p w14:paraId="1323A273">
      <w:pPr>
        <w:spacing w:line="460" w:lineRule="exact"/>
        <w:ind w:firstLine="560" w:firstLineChars="200"/>
        <w:rPr>
          <w:rFonts w:asciiTheme="majorEastAsia" w:hAnsiTheme="majorEastAsia" w:eastAsiaTheme="majorEastAsia"/>
          <w:sz w:val="28"/>
          <w:szCs w:val="28"/>
        </w:rPr>
      </w:pPr>
      <w:r>
        <w:rPr>
          <w:rFonts w:hint="eastAsia" w:asciiTheme="majorEastAsia" w:hAnsiTheme="majorEastAsia" w:eastAsiaTheme="majorEastAsia"/>
          <w:sz w:val="28"/>
          <w:szCs w:val="28"/>
        </w:rPr>
        <w:t>项目联系人：泰兴市公共资源交易中心   黄女士</w:t>
      </w:r>
    </w:p>
    <w:p w14:paraId="60D7389B">
      <w:pPr>
        <w:spacing w:line="460" w:lineRule="exact"/>
        <w:ind w:firstLine="560" w:firstLineChars="200"/>
      </w:pPr>
      <w:r>
        <w:rPr>
          <w:rFonts w:hint="eastAsia" w:asciiTheme="majorEastAsia" w:hAnsiTheme="majorEastAsia" w:eastAsiaTheme="majorEastAsia"/>
          <w:sz w:val="28"/>
          <w:szCs w:val="28"/>
        </w:rPr>
        <w:t>电　话：</w:t>
      </w:r>
      <w:r>
        <w:rPr>
          <w:rFonts w:asciiTheme="majorEastAsia" w:hAnsiTheme="majorEastAsia" w:eastAsiaTheme="majorEastAsia"/>
          <w:sz w:val="28"/>
          <w:szCs w:val="28"/>
        </w:rPr>
        <w:t>0523-87654122</w:t>
      </w:r>
    </w:p>
    <w:p w14:paraId="40515BBD">
      <w:pPr>
        <w:widowControl/>
        <w:jc w:val="center"/>
        <w:rPr>
          <w:rFonts w:ascii="黑体" w:hAnsi="黑体" w:eastAsia="黑体"/>
          <w:b/>
          <w:sz w:val="32"/>
          <w:szCs w:val="32"/>
        </w:rPr>
      </w:pPr>
      <w:bookmarkStart w:id="40" w:name="_Toc426469869"/>
      <w:bookmarkStart w:id="41" w:name="_Toc16938516"/>
      <w:bookmarkStart w:id="42" w:name="_Toc523127445"/>
      <w:bookmarkStart w:id="43" w:name="_Toc382813966"/>
      <w:bookmarkStart w:id="44" w:name="_Toc479757206"/>
      <w:bookmarkStart w:id="45" w:name="_Toc513029200"/>
      <w:bookmarkStart w:id="46" w:name="_Toc382812472"/>
      <w:bookmarkStart w:id="47" w:name="_Toc20823272"/>
      <w:bookmarkStart w:id="48" w:name="_Toc382813885"/>
      <w:r>
        <w:rPr>
          <w:rFonts w:ascii="黑体" w:hAnsi="黑体" w:eastAsia="黑体"/>
          <w:b/>
          <w:sz w:val="32"/>
          <w:szCs w:val="32"/>
        </w:rPr>
        <w:br w:type="page"/>
      </w: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供应商须知</w:t>
      </w:r>
      <w:bookmarkEnd w:id="40"/>
    </w:p>
    <w:p w14:paraId="29577652">
      <w:pPr>
        <w:rPr>
          <w:sz w:val="28"/>
          <w:szCs w:val="28"/>
        </w:rPr>
      </w:pPr>
      <w:bookmarkStart w:id="49" w:name="_Toc426469870"/>
      <w:r>
        <w:rPr>
          <w:rFonts w:hint="eastAsia"/>
          <w:sz w:val="28"/>
          <w:szCs w:val="28"/>
        </w:rPr>
        <w:t>供应商须知前附表</w:t>
      </w:r>
      <w:bookmarkEnd w:id="49"/>
    </w:p>
    <w:tbl>
      <w:tblPr>
        <w:tblStyle w:val="1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75FA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16E3E592">
            <w:pPr>
              <w:spacing w:line="360" w:lineRule="exact"/>
              <w:jc w:val="center"/>
              <w:rPr>
                <w:rFonts w:ascii="宋体"/>
                <w:b/>
                <w:kern w:val="2"/>
                <w:sz w:val="28"/>
                <w:szCs w:val="28"/>
              </w:rPr>
            </w:pPr>
            <w:r>
              <w:rPr>
                <w:rFonts w:hint="eastAsia" w:ascii="宋体" w:hAnsi="宋体"/>
                <w:b/>
                <w:kern w:val="2"/>
                <w:sz w:val="28"/>
                <w:szCs w:val="28"/>
              </w:rPr>
              <w:t>条款号</w:t>
            </w:r>
          </w:p>
        </w:tc>
        <w:tc>
          <w:tcPr>
            <w:tcW w:w="2552" w:type="dxa"/>
            <w:gridSpan w:val="2"/>
            <w:vAlign w:val="center"/>
          </w:tcPr>
          <w:p w14:paraId="13930A4D">
            <w:pPr>
              <w:spacing w:line="360" w:lineRule="exact"/>
              <w:jc w:val="center"/>
              <w:rPr>
                <w:rFonts w:ascii="宋体"/>
                <w:b/>
                <w:kern w:val="2"/>
                <w:sz w:val="28"/>
                <w:szCs w:val="28"/>
              </w:rPr>
            </w:pPr>
            <w:r>
              <w:rPr>
                <w:rFonts w:hint="eastAsia" w:ascii="宋体" w:hAnsi="宋体"/>
                <w:b/>
                <w:kern w:val="2"/>
                <w:sz w:val="28"/>
                <w:szCs w:val="28"/>
              </w:rPr>
              <w:t>条</w:t>
            </w:r>
            <w:r>
              <w:rPr>
                <w:rFonts w:ascii="宋体" w:hAnsi="宋体"/>
                <w:b/>
                <w:kern w:val="2"/>
                <w:sz w:val="28"/>
                <w:szCs w:val="28"/>
              </w:rPr>
              <w:t xml:space="preserve"> </w:t>
            </w:r>
            <w:r>
              <w:rPr>
                <w:rFonts w:hint="eastAsia" w:ascii="宋体" w:hAnsi="宋体"/>
                <w:b/>
                <w:kern w:val="2"/>
                <w:sz w:val="28"/>
                <w:szCs w:val="28"/>
              </w:rPr>
              <w:t>款</w:t>
            </w:r>
            <w:r>
              <w:rPr>
                <w:rFonts w:ascii="宋体" w:hAnsi="宋体"/>
                <w:b/>
                <w:kern w:val="2"/>
                <w:sz w:val="28"/>
                <w:szCs w:val="28"/>
              </w:rPr>
              <w:t xml:space="preserve"> </w:t>
            </w:r>
            <w:r>
              <w:rPr>
                <w:rFonts w:hint="eastAsia" w:ascii="宋体" w:hAnsi="宋体"/>
                <w:b/>
                <w:kern w:val="2"/>
                <w:sz w:val="28"/>
                <w:szCs w:val="28"/>
              </w:rPr>
              <w:t>名</w:t>
            </w:r>
            <w:r>
              <w:rPr>
                <w:rFonts w:ascii="宋体" w:hAnsi="宋体"/>
                <w:b/>
                <w:kern w:val="2"/>
                <w:sz w:val="28"/>
                <w:szCs w:val="28"/>
              </w:rPr>
              <w:t xml:space="preserve"> </w:t>
            </w:r>
            <w:r>
              <w:rPr>
                <w:rFonts w:hint="eastAsia" w:ascii="宋体" w:hAnsi="宋体"/>
                <w:b/>
                <w:kern w:val="2"/>
                <w:sz w:val="28"/>
                <w:szCs w:val="28"/>
              </w:rPr>
              <w:t>称</w:t>
            </w:r>
          </w:p>
        </w:tc>
        <w:tc>
          <w:tcPr>
            <w:tcW w:w="5987" w:type="dxa"/>
            <w:vAlign w:val="center"/>
          </w:tcPr>
          <w:p w14:paraId="68C326D6">
            <w:pPr>
              <w:spacing w:line="360" w:lineRule="exact"/>
              <w:jc w:val="center"/>
              <w:rPr>
                <w:rFonts w:ascii="宋体"/>
                <w:b/>
                <w:kern w:val="2"/>
                <w:sz w:val="28"/>
                <w:szCs w:val="28"/>
              </w:rPr>
            </w:pPr>
            <w:r>
              <w:rPr>
                <w:rFonts w:hint="eastAsia" w:ascii="宋体" w:hAnsi="宋体"/>
                <w:b/>
                <w:kern w:val="2"/>
                <w:sz w:val="28"/>
                <w:szCs w:val="28"/>
              </w:rPr>
              <w:t>编</w:t>
            </w:r>
            <w:r>
              <w:rPr>
                <w:rFonts w:ascii="宋体" w:hAnsi="宋体"/>
                <w:b/>
                <w:kern w:val="2"/>
                <w:sz w:val="28"/>
                <w:szCs w:val="28"/>
              </w:rPr>
              <w:t xml:space="preserve">  </w:t>
            </w:r>
            <w:r>
              <w:rPr>
                <w:rFonts w:hint="eastAsia" w:ascii="宋体" w:hAnsi="宋体"/>
                <w:b/>
                <w:kern w:val="2"/>
                <w:sz w:val="28"/>
                <w:szCs w:val="28"/>
              </w:rPr>
              <w:t>列</w:t>
            </w:r>
            <w:r>
              <w:rPr>
                <w:rFonts w:ascii="宋体" w:hAnsi="宋体"/>
                <w:b/>
                <w:kern w:val="2"/>
                <w:sz w:val="28"/>
                <w:szCs w:val="28"/>
              </w:rPr>
              <w:t xml:space="preserve">  </w:t>
            </w:r>
            <w:r>
              <w:rPr>
                <w:rFonts w:hint="eastAsia" w:ascii="宋体" w:hAnsi="宋体"/>
                <w:b/>
                <w:kern w:val="2"/>
                <w:sz w:val="28"/>
                <w:szCs w:val="28"/>
              </w:rPr>
              <w:t>内</w:t>
            </w:r>
            <w:r>
              <w:rPr>
                <w:rFonts w:ascii="宋体" w:hAnsi="宋体"/>
                <w:b/>
                <w:kern w:val="2"/>
                <w:sz w:val="28"/>
                <w:szCs w:val="28"/>
              </w:rPr>
              <w:t xml:space="preserve">  </w:t>
            </w:r>
            <w:r>
              <w:rPr>
                <w:rFonts w:hint="eastAsia" w:ascii="宋体" w:hAnsi="宋体"/>
                <w:b/>
                <w:kern w:val="2"/>
                <w:sz w:val="28"/>
                <w:szCs w:val="28"/>
              </w:rPr>
              <w:t>容</w:t>
            </w:r>
          </w:p>
        </w:tc>
      </w:tr>
      <w:tr w14:paraId="2CBC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28C5A9B2">
            <w:pPr>
              <w:spacing w:line="360" w:lineRule="exact"/>
              <w:jc w:val="center"/>
              <w:rPr>
                <w:rFonts w:ascii="宋体" w:hAnsi="宋体"/>
                <w:kern w:val="2"/>
                <w:sz w:val="28"/>
                <w:szCs w:val="28"/>
              </w:rPr>
            </w:pPr>
            <w:r>
              <w:rPr>
                <w:rFonts w:ascii="宋体" w:hAnsi="宋体"/>
                <w:kern w:val="2"/>
                <w:sz w:val="28"/>
                <w:szCs w:val="28"/>
              </w:rPr>
              <w:t>1.1.2</w:t>
            </w:r>
          </w:p>
        </w:tc>
        <w:tc>
          <w:tcPr>
            <w:tcW w:w="2552" w:type="dxa"/>
            <w:gridSpan w:val="2"/>
            <w:vAlign w:val="center"/>
          </w:tcPr>
          <w:p w14:paraId="767DB2D3">
            <w:pPr>
              <w:spacing w:line="360" w:lineRule="exact"/>
              <w:jc w:val="center"/>
              <w:rPr>
                <w:rFonts w:hint="eastAsia" w:ascii="宋体" w:hAnsi="宋体"/>
                <w:kern w:val="2"/>
                <w:sz w:val="28"/>
                <w:szCs w:val="28"/>
              </w:rPr>
            </w:pPr>
            <w:r>
              <w:rPr>
                <w:rFonts w:hint="eastAsia" w:ascii="宋体" w:hAnsi="宋体"/>
                <w:kern w:val="2"/>
                <w:sz w:val="28"/>
                <w:szCs w:val="28"/>
              </w:rPr>
              <w:t>招标人</w:t>
            </w:r>
          </w:p>
        </w:tc>
        <w:tc>
          <w:tcPr>
            <w:tcW w:w="5987" w:type="dxa"/>
            <w:vAlign w:val="center"/>
          </w:tcPr>
          <w:p w14:paraId="4993E230">
            <w:pPr>
              <w:spacing w:line="360" w:lineRule="exact"/>
              <w:jc w:val="left"/>
              <w:rPr>
                <w:rFonts w:hint="eastAsia" w:ascii="宋体" w:hAnsi="宋体"/>
                <w:kern w:val="2"/>
                <w:sz w:val="28"/>
                <w:szCs w:val="28"/>
              </w:rPr>
            </w:pPr>
            <w:r>
              <w:rPr>
                <w:rFonts w:hint="eastAsia" w:ascii="宋体" w:hAnsi="宋体"/>
                <w:kern w:val="2"/>
                <w:sz w:val="28"/>
                <w:szCs w:val="28"/>
              </w:rPr>
              <w:t>名称：</w:t>
            </w:r>
            <w:r>
              <w:rPr>
                <w:rFonts w:hint="eastAsia" w:ascii="宋体" w:hAnsi="宋体"/>
                <w:kern w:val="2"/>
                <w:sz w:val="28"/>
                <w:szCs w:val="28"/>
                <w:lang w:val="zh-CN"/>
              </w:rPr>
              <w:t>泰兴市中医院</w:t>
            </w:r>
          </w:p>
          <w:p w14:paraId="119FDF97">
            <w:pPr>
              <w:spacing w:line="360" w:lineRule="exact"/>
              <w:jc w:val="left"/>
              <w:rPr>
                <w:rFonts w:hint="eastAsia" w:ascii="宋体" w:hAnsi="宋体"/>
                <w:kern w:val="2"/>
                <w:sz w:val="28"/>
                <w:szCs w:val="28"/>
                <w:lang w:eastAsia="zh-CN"/>
              </w:rPr>
            </w:pPr>
            <w:r>
              <w:rPr>
                <w:rFonts w:hint="eastAsia" w:ascii="宋体" w:hAnsi="宋体"/>
                <w:kern w:val="2"/>
                <w:sz w:val="28"/>
                <w:szCs w:val="28"/>
              </w:rPr>
              <w:t>地址：</w:t>
            </w:r>
            <w:r>
              <w:rPr>
                <w:rFonts w:hint="eastAsia" w:ascii="宋体" w:hAnsi="宋体"/>
                <w:kern w:val="2"/>
                <w:sz w:val="28"/>
                <w:szCs w:val="28"/>
                <w:lang w:eastAsia="zh-CN"/>
              </w:rPr>
              <w:t>泰兴市银兴东路1号</w:t>
            </w:r>
          </w:p>
          <w:p w14:paraId="79A5C6CB">
            <w:pPr>
              <w:spacing w:line="360" w:lineRule="exact"/>
              <w:jc w:val="left"/>
              <w:rPr>
                <w:rFonts w:hint="eastAsia" w:ascii="宋体" w:hAnsi="宋体" w:eastAsia="宋体"/>
                <w:kern w:val="2"/>
                <w:sz w:val="28"/>
                <w:szCs w:val="28"/>
                <w:lang w:eastAsia="zh-CN"/>
              </w:rPr>
            </w:pPr>
            <w:r>
              <w:rPr>
                <w:rFonts w:hint="eastAsia" w:ascii="宋体" w:hAnsi="宋体"/>
                <w:kern w:val="2"/>
                <w:sz w:val="28"/>
                <w:szCs w:val="28"/>
              </w:rPr>
              <w:t>联系人：</w:t>
            </w:r>
            <w:r>
              <w:rPr>
                <w:rFonts w:hint="eastAsia" w:ascii="宋体" w:hAnsi="宋体"/>
                <w:kern w:val="2"/>
                <w:sz w:val="28"/>
                <w:szCs w:val="28"/>
                <w:lang w:eastAsia="zh-CN"/>
              </w:rPr>
              <w:t>朱先生</w:t>
            </w:r>
          </w:p>
          <w:p w14:paraId="11C59EF7">
            <w:pPr>
              <w:spacing w:line="360" w:lineRule="exact"/>
              <w:jc w:val="left"/>
              <w:rPr>
                <w:rFonts w:hint="eastAsia" w:ascii="宋体" w:hAnsi="宋体"/>
                <w:kern w:val="2"/>
                <w:sz w:val="28"/>
                <w:szCs w:val="28"/>
              </w:rPr>
            </w:pPr>
            <w:r>
              <w:rPr>
                <w:rFonts w:hint="eastAsia" w:ascii="宋体" w:hAnsi="宋体"/>
                <w:kern w:val="2"/>
                <w:sz w:val="28"/>
                <w:szCs w:val="28"/>
              </w:rPr>
              <w:t>联系电话：0523-</w:t>
            </w:r>
            <w:r>
              <w:rPr>
                <w:rFonts w:hint="eastAsia" w:ascii="宋体" w:hAnsi="宋体"/>
                <w:kern w:val="2"/>
                <w:sz w:val="28"/>
                <w:szCs w:val="28"/>
                <w:lang w:eastAsia="zh-CN"/>
              </w:rPr>
              <w:t>87900059</w:t>
            </w:r>
            <w:r>
              <w:rPr>
                <w:rFonts w:hint="eastAsia" w:ascii="宋体" w:hAnsi="宋体"/>
                <w:kern w:val="2"/>
                <w:sz w:val="28"/>
                <w:szCs w:val="28"/>
              </w:rPr>
              <w:t xml:space="preserve"> </w:t>
            </w:r>
          </w:p>
        </w:tc>
      </w:tr>
      <w:tr w14:paraId="28E9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2BC3F02A">
            <w:pPr>
              <w:spacing w:line="360" w:lineRule="exact"/>
              <w:jc w:val="center"/>
              <w:rPr>
                <w:rFonts w:ascii="宋体" w:hAnsi="宋体"/>
                <w:kern w:val="2"/>
                <w:sz w:val="28"/>
                <w:szCs w:val="28"/>
              </w:rPr>
            </w:pPr>
            <w:r>
              <w:rPr>
                <w:rFonts w:ascii="宋体" w:hAnsi="宋体"/>
                <w:kern w:val="2"/>
                <w:sz w:val="28"/>
                <w:szCs w:val="28"/>
              </w:rPr>
              <w:t>1.1.3</w:t>
            </w:r>
          </w:p>
        </w:tc>
        <w:tc>
          <w:tcPr>
            <w:tcW w:w="2552" w:type="dxa"/>
            <w:gridSpan w:val="2"/>
            <w:vAlign w:val="center"/>
          </w:tcPr>
          <w:p w14:paraId="676DB004">
            <w:pPr>
              <w:spacing w:line="360" w:lineRule="exact"/>
              <w:jc w:val="center"/>
              <w:rPr>
                <w:rFonts w:ascii="宋体"/>
                <w:kern w:val="2"/>
                <w:sz w:val="28"/>
                <w:szCs w:val="28"/>
              </w:rPr>
            </w:pPr>
            <w:r>
              <w:rPr>
                <w:rFonts w:hint="eastAsia" w:ascii="宋体" w:hAnsi="宋体"/>
                <w:kern w:val="2"/>
                <w:sz w:val="28"/>
                <w:szCs w:val="28"/>
              </w:rPr>
              <w:t>采购代理机构</w:t>
            </w:r>
          </w:p>
        </w:tc>
        <w:tc>
          <w:tcPr>
            <w:tcW w:w="5987" w:type="dxa"/>
            <w:vAlign w:val="center"/>
          </w:tcPr>
          <w:p w14:paraId="278D9A90">
            <w:pPr>
              <w:spacing w:line="360" w:lineRule="exact"/>
              <w:jc w:val="left"/>
              <w:rPr>
                <w:rFonts w:ascii="宋体"/>
                <w:kern w:val="2"/>
                <w:sz w:val="28"/>
                <w:szCs w:val="28"/>
              </w:rPr>
            </w:pPr>
            <w:r>
              <w:rPr>
                <w:rFonts w:hint="eastAsia" w:ascii="宋体" w:hAnsi="宋体"/>
                <w:kern w:val="2"/>
                <w:sz w:val="28"/>
                <w:szCs w:val="28"/>
              </w:rPr>
              <w:t>名称：泰兴市公共资源交易中心</w:t>
            </w:r>
          </w:p>
          <w:p w14:paraId="7350228D">
            <w:pPr>
              <w:spacing w:line="360" w:lineRule="exact"/>
              <w:jc w:val="left"/>
              <w:rPr>
                <w:rFonts w:ascii="宋体"/>
                <w:kern w:val="2"/>
                <w:sz w:val="28"/>
                <w:szCs w:val="28"/>
              </w:rPr>
            </w:pPr>
            <w:r>
              <w:rPr>
                <w:rFonts w:hint="eastAsia" w:ascii="宋体" w:hAnsi="宋体"/>
                <w:kern w:val="2"/>
                <w:sz w:val="28"/>
                <w:szCs w:val="28"/>
              </w:rPr>
              <w:t>地址：泰兴市文昌东路</w:t>
            </w:r>
            <w:r>
              <w:rPr>
                <w:rFonts w:ascii="宋体" w:hAnsi="宋体"/>
                <w:kern w:val="2"/>
                <w:sz w:val="28"/>
                <w:szCs w:val="28"/>
              </w:rPr>
              <w:t>62</w:t>
            </w:r>
            <w:r>
              <w:rPr>
                <w:rFonts w:hint="eastAsia" w:ascii="宋体" w:hAnsi="宋体"/>
                <w:kern w:val="2"/>
                <w:sz w:val="28"/>
                <w:szCs w:val="28"/>
              </w:rPr>
              <w:t>号四楼</w:t>
            </w:r>
            <w:r>
              <w:rPr>
                <w:rFonts w:ascii="宋体" w:hAnsi="宋体"/>
                <w:kern w:val="2"/>
                <w:sz w:val="28"/>
                <w:szCs w:val="28"/>
              </w:rPr>
              <w:t>406</w:t>
            </w:r>
            <w:r>
              <w:rPr>
                <w:rFonts w:hint="eastAsia" w:ascii="宋体" w:hAnsi="宋体"/>
                <w:kern w:val="2"/>
                <w:sz w:val="28"/>
                <w:szCs w:val="28"/>
              </w:rPr>
              <w:t>室</w:t>
            </w:r>
          </w:p>
          <w:p w14:paraId="5C697DBF">
            <w:pPr>
              <w:spacing w:line="360" w:lineRule="exact"/>
              <w:jc w:val="left"/>
              <w:rPr>
                <w:rFonts w:ascii="宋体"/>
                <w:kern w:val="2"/>
                <w:sz w:val="28"/>
                <w:szCs w:val="28"/>
              </w:rPr>
            </w:pPr>
            <w:r>
              <w:rPr>
                <w:rFonts w:hint="eastAsia" w:ascii="宋体" w:hAnsi="宋体"/>
                <w:kern w:val="2"/>
                <w:sz w:val="28"/>
                <w:szCs w:val="28"/>
              </w:rPr>
              <w:t>联系人：黄、吕、顾女士</w:t>
            </w:r>
          </w:p>
          <w:p w14:paraId="20F53B80">
            <w:pPr>
              <w:spacing w:line="360" w:lineRule="exact"/>
              <w:jc w:val="left"/>
              <w:rPr>
                <w:rFonts w:ascii="宋体" w:hAnsi="宋体"/>
                <w:kern w:val="2"/>
                <w:sz w:val="28"/>
                <w:szCs w:val="28"/>
              </w:rPr>
            </w:pPr>
            <w:r>
              <w:rPr>
                <w:rFonts w:hint="eastAsia" w:ascii="宋体" w:hAnsi="宋体"/>
                <w:kern w:val="2"/>
                <w:sz w:val="28"/>
                <w:szCs w:val="28"/>
              </w:rPr>
              <w:t>联系电话：</w:t>
            </w:r>
            <w:r>
              <w:rPr>
                <w:rFonts w:ascii="宋体" w:hAnsi="宋体"/>
                <w:kern w:val="2"/>
                <w:sz w:val="28"/>
                <w:szCs w:val="28"/>
              </w:rPr>
              <w:t>0523-87654122</w:t>
            </w:r>
          </w:p>
        </w:tc>
      </w:tr>
      <w:tr w14:paraId="4336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6D2B70DE">
            <w:pPr>
              <w:spacing w:line="360" w:lineRule="exact"/>
              <w:jc w:val="center"/>
              <w:rPr>
                <w:rFonts w:ascii="宋体" w:hAnsi="宋体"/>
                <w:kern w:val="2"/>
                <w:sz w:val="28"/>
                <w:szCs w:val="28"/>
              </w:rPr>
            </w:pPr>
            <w:r>
              <w:rPr>
                <w:rFonts w:ascii="宋体" w:hAnsi="宋体"/>
                <w:kern w:val="2"/>
                <w:sz w:val="28"/>
                <w:szCs w:val="28"/>
              </w:rPr>
              <w:t>1.1.4</w:t>
            </w:r>
          </w:p>
        </w:tc>
        <w:tc>
          <w:tcPr>
            <w:tcW w:w="2552" w:type="dxa"/>
            <w:gridSpan w:val="2"/>
            <w:vAlign w:val="center"/>
          </w:tcPr>
          <w:p w14:paraId="603442AE">
            <w:pPr>
              <w:spacing w:line="360" w:lineRule="exact"/>
              <w:jc w:val="center"/>
              <w:rPr>
                <w:rFonts w:ascii="宋体"/>
                <w:kern w:val="2"/>
                <w:sz w:val="28"/>
                <w:szCs w:val="28"/>
              </w:rPr>
            </w:pPr>
            <w:r>
              <w:rPr>
                <w:rFonts w:hint="eastAsia" w:ascii="宋体" w:hAnsi="宋体"/>
                <w:kern w:val="2"/>
                <w:sz w:val="28"/>
                <w:szCs w:val="28"/>
              </w:rPr>
              <w:t>项目名称及项目 编号</w:t>
            </w:r>
          </w:p>
        </w:tc>
        <w:tc>
          <w:tcPr>
            <w:tcW w:w="5987" w:type="dxa"/>
            <w:vAlign w:val="center"/>
          </w:tcPr>
          <w:p w14:paraId="1B896BAA">
            <w:pPr>
              <w:spacing w:line="460" w:lineRule="exact"/>
              <w:ind w:left="1400" w:hanging="1400" w:hangingChars="500"/>
              <w:rPr>
                <w:rFonts w:hint="eastAsia" w:ascii="宋体" w:hAnsi="宋体" w:eastAsia="宋体"/>
                <w:kern w:val="2"/>
                <w:sz w:val="28"/>
                <w:szCs w:val="28"/>
                <w:lang w:eastAsia="zh-CN"/>
              </w:rPr>
            </w:pPr>
            <w:r>
              <w:rPr>
                <w:rFonts w:hint="eastAsia" w:ascii="宋体" w:hAnsi="宋体"/>
                <w:kern w:val="2"/>
                <w:sz w:val="28"/>
                <w:szCs w:val="28"/>
              </w:rPr>
              <w:t>项目名称：</w:t>
            </w:r>
            <w:r>
              <w:rPr>
                <w:rFonts w:hint="eastAsia" w:ascii="宋体" w:hAnsi="宋体"/>
                <w:kern w:val="2"/>
                <w:sz w:val="28"/>
                <w:szCs w:val="28"/>
                <w:lang w:eastAsia="zh-CN"/>
              </w:rPr>
              <w:t>泰兴市中医院、</w:t>
            </w:r>
            <w:r>
              <w:rPr>
                <w:rFonts w:hint="eastAsia" w:ascii="宋体" w:hAnsi="宋体"/>
                <w:kern w:val="2"/>
                <w:sz w:val="28"/>
                <w:szCs w:val="28"/>
                <w:lang w:val="en-US" w:eastAsia="zh-CN"/>
              </w:rPr>
              <w:t>妇幼保健院</w:t>
            </w:r>
            <w:r>
              <w:rPr>
                <w:rFonts w:hint="eastAsia" w:ascii="宋体" w:hAnsi="宋体"/>
                <w:kern w:val="2"/>
                <w:sz w:val="28"/>
                <w:szCs w:val="28"/>
              </w:rPr>
              <w:t>物业管理</w:t>
            </w:r>
            <w:r>
              <w:rPr>
                <w:rFonts w:hint="eastAsia" w:ascii="宋体" w:hAnsi="宋体"/>
                <w:kern w:val="2"/>
                <w:sz w:val="28"/>
                <w:szCs w:val="28"/>
                <w:lang w:eastAsia="zh-CN"/>
              </w:rPr>
              <w:t>项目</w:t>
            </w:r>
          </w:p>
          <w:p w14:paraId="687E98F6">
            <w:pPr>
              <w:spacing w:line="360" w:lineRule="exact"/>
              <w:jc w:val="left"/>
              <w:rPr>
                <w:rFonts w:ascii="宋体"/>
                <w:kern w:val="2"/>
                <w:sz w:val="28"/>
                <w:szCs w:val="28"/>
              </w:rPr>
            </w:pPr>
            <w:r>
              <w:rPr>
                <w:rFonts w:hint="eastAsia" w:ascii="宋体" w:hAnsi="宋体"/>
                <w:kern w:val="2"/>
                <w:sz w:val="28"/>
                <w:szCs w:val="28"/>
              </w:rPr>
              <w:t>项目编号：JSZC-321283-JZCG-G202</w:t>
            </w:r>
            <w:r>
              <w:rPr>
                <w:rFonts w:hint="eastAsia" w:ascii="宋体" w:hAnsi="宋体"/>
                <w:kern w:val="2"/>
                <w:sz w:val="28"/>
                <w:szCs w:val="28"/>
                <w:lang w:val="en-US" w:eastAsia="zh-CN"/>
              </w:rPr>
              <w:t>5</w:t>
            </w:r>
            <w:r>
              <w:rPr>
                <w:rFonts w:hint="eastAsia" w:ascii="宋体" w:hAnsi="宋体"/>
                <w:kern w:val="2"/>
                <w:sz w:val="28"/>
                <w:szCs w:val="28"/>
              </w:rPr>
              <w:t>-00</w:t>
            </w:r>
            <w:r>
              <w:rPr>
                <w:rFonts w:hint="eastAsia" w:ascii="宋体" w:hAnsi="宋体"/>
                <w:kern w:val="2"/>
                <w:sz w:val="28"/>
                <w:szCs w:val="28"/>
                <w:lang w:val="en-US" w:eastAsia="zh-CN"/>
              </w:rPr>
              <w:t>36</w:t>
            </w:r>
          </w:p>
        </w:tc>
      </w:tr>
      <w:tr w14:paraId="4F62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89" w:type="dxa"/>
            <w:vAlign w:val="center"/>
          </w:tcPr>
          <w:p w14:paraId="0E16AB9D">
            <w:pPr>
              <w:spacing w:line="380" w:lineRule="exact"/>
              <w:jc w:val="center"/>
              <w:rPr>
                <w:rFonts w:ascii="宋体" w:hAnsi="宋体"/>
                <w:kern w:val="2"/>
                <w:sz w:val="28"/>
                <w:szCs w:val="28"/>
              </w:rPr>
            </w:pPr>
            <w:r>
              <w:rPr>
                <w:rFonts w:ascii="宋体" w:hAnsi="宋体"/>
                <w:kern w:val="2"/>
                <w:sz w:val="28"/>
                <w:szCs w:val="28"/>
              </w:rPr>
              <w:t>1.2.</w:t>
            </w:r>
            <w:r>
              <w:rPr>
                <w:rFonts w:hint="eastAsia" w:ascii="宋体" w:hAnsi="宋体"/>
                <w:kern w:val="2"/>
                <w:sz w:val="28"/>
                <w:szCs w:val="28"/>
              </w:rPr>
              <w:t>1</w:t>
            </w:r>
          </w:p>
        </w:tc>
        <w:tc>
          <w:tcPr>
            <w:tcW w:w="2552" w:type="dxa"/>
            <w:gridSpan w:val="2"/>
            <w:vAlign w:val="center"/>
          </w:tcPr>
          <w:p w14:paraId="2F9FB7C7">
            <w:pPr>
              <w:spacing w:line="380" w:lineRule="exact"/>
              <w:jc w:val="center"/>
              <w:rPr>
                <w:rFonts w:ascii="宋体"/>
                <w:kern w:val="2"/>
                <w:sz w:val="28"/>
                <w:szCs w:val="28"/>
              </w:rPr>
            </w:pPr>
            <w:r>
              <w:rPr>
                <w:rFonts w:hint="eastAsia" w:ascii="宋体" w:hAnsi="宋体"/>
                <w:kern w:val="2"/>
                <w:sz w:val="28"/>
                <w:szCs w:val="28"/>
              </w:rPr>
              <w:t>付款方式</w:t>
            </w:r>
          </w:p>
        </w:tc>
        <w:tc>
          <w:tcPr>
            <w:tcW w:w="5987" w:type="dxa"/>
            <w:vAlign w:val="center"/>
          </w:tcPr>
          <w:p w14:paraId="7DFED8E7">
            <w:pPr>
              <w:pStyle w:val="17"/>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ascii="宋体"/>
                <w:kern w:val="2"/>
                <w:sz w:val="28"/>
                <w:szCs w:val="28"/>
              </w:rPr>
            </w:pPr>
            <w:r>
              <w:rPr>
                <w:rFonts w:hint="eastAsia" w:ascii="宋体" w:hAnsi="宋体" w:cs="宋体"/>
                <w:color w:val="auto"/>
                <w:sz w:val="28"/>
                <w:szCs w:val="28"/>
              </w:rPr>
              <w:t>物业公司在按规定完成各项工作后并考核合格后，开具正式发票给院方，</w:t>
            </w:r>
            <w:r>
              <w:rPr>
                <w:rFonts w:hint="eastAsia" w:ascii="宋体" w:hAnsi="宋体" w:cs="宋体"/>
                <w:b w:val="0"/>
                <w:bCs/>
                <w:color w:val="auto"/>
                <w:sz w:val="28"/>
                <w:szCs w:val="28"/>
                <w:u w:val="none"/>
              </w:rPr>
              <w:t>每</w:t>
            </w:r>
            <w:r>
              <w:rPr>
                <w:rFonts w:hint="eastAsia" w:ascii="宋体" w:hAnsi="宋体" w:cs="宋体"/>
                <w:b w:val="0"/>
                <w:bCs/>
                <w:color w:val="auto"/>
                <w:sz w:val="28"/>
                <w:szCs w:val="28"/>
                <w:u w:val="none"/>
                <w:lang w:val="en-US" w:eastAsia="zh-CN"/>
              </w:rPr>
              <w:t>月</w:t>
            </w:r>
            <w:r>
              <w:rPr>
                <w:rFonts w:hint="eastAsia" w:ascii="宋体" w:hAnsi="宋体" w:cs="宋体"/>
                <w:b w:val="0"/>
                <w:bCs/>
                <w:color w:val="auto"/>
                <w:sz w:val="28"/>
                <w:szCs w:val="28"/>
                <w:u w:val="none"/>
              </w:rPr>
              <w:t>付款壹次</w:t>
            </w:r>
            <w:r>
              <w:rPr>
                <w:rFonts w:hint="eastAsia" w:ascii="宋体" w:hAnsi="宋体" w:cs="宋体"/>
                <w:color w:val="auto"/>
                <w:sz w:val="28"/>
                <w:szCs w:val="28"/>
              </w:rPr>
              <w:t>。</w:t>
            </w:r>
          </w:p>
        </w:tc>
      </w:tr>
      <w:tr w14:paraId="1312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42A60862">
            <w:pPr>
              <w:spacing w:line="360" w:lineRule="exact"/>
              <w:jc w:val="center"/>
              <w:rPr>
                <w:rFonts w:ascii="宋体" w:hAnsi="宋体"/>
                <w:kern w:val="2"/>
                <w:sz w:val="28"/>
                <w:szCs w:val="28"/>
              </w:rPr>
            </w:pPr>
            <w:r>
              <w:rPr>
                <w:rFonts w:ascii="宋体" w:hAnsi="宋体"/>
                <w:kern w:val="2"/>
                <w:sz w:val="28"/>
                <w:szCs w:val="28"/>
              </w:rPr>
              <w:t>1.3.1</w:t>
            </w:r>
          </w:p>
        </w:tc>
        <w:tc>
          <w:tcPr>
            <w:tcW w:w="2552" w:type="dxa"/>
            <w:gridSpan w:val="2"/>
            <w:vAlign w:val="center"/>
          </w:tcPr>
          <w:p w14:paraId="459106A7">
            <w:pPr>
              <w:spacing w:line="360" w:lineRule="exact"/>
              <w:jc w:val="center"/>
              <w:rPr>
                <w:rFonts w:ascii="宋体"/>
                <w:kern w:val="2"/>
                <w:sz w:val="28"/>
                <w:szCs w:val="28"/>
              </w:rPr>
            </w:pPr>
            <w:r>
              <w:rPr>
                <w:rFonts w:hint="eastAsia" w:asciiTheme="majorEastAsia" w:hAnsiTheme="majorEastAsia" w:eastAsiaTheme="majorEastAsia"/>
                <w:kern w:val="2"/>
                <w:sz w:val="28"/>
                <w:szCs w:val="28"/>
              </w:rPr>
              <w:t>技术标准和要求</w:t>
            </w:r>
          </w:p>
        </w:tc>
        <w:tc>
          <w:tcPr>
            <w:tcW w:w="5987" w:type="dxa"/>
            <w:vAlign w:val="center"/>
          </w:tcPr>
          <w:p w14:paraId="16241BD1">
            <w:pPr>
              <w:adjustRightInd w:val="0"/>
              <w:snapToGrid w:val="0"/>
              <w:spacing w:line="420" w:lineRule="exact"/>
              <w:jc w:val="left"/>
              <w:rPr>
                <w:rFonts w:ascii="宋体"/>
                <w:kern w:val="2"/>
                <w:sz w:val="28"/>
                <w:szCs w:val="28"/>
              </w:rPr>
            </w:pPr>
            <w:r>
              <w:rPr>
                <w:rFonts w:hint="eastAsia" w:ascii="宋体" w:hAnsi="宋体"/>
                <w:kern w:val="2"/>
                <w:sz w:val="28"/>
                <w:szCs w:val="28"/>
              </w:rPr>
              <w:t>见第五章采</w:t>
            </w:r>
            <w:r>
              <w:rPr>
                <w:rFonts w:hint="eastAsia" w:asciiTheme="majorEastAsia" w:hAnsiTheme="majorEastAsia" w:eastAsiaTheme="majorEastAsia"/>
                <w:kern w:val="2"/>
                <w:sz w:val="28"/>
                <w:szCs w:val="28"/>
              </w:rPr>
              <w:t>技术标准和要求</w:t>
            </w:r>
          </w:p>
        </w:tc>
      </w:tr>
      <w:tr w14:paraId="721B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329F3B98">
            <w:pPr>
              <w:spacing w:line="360" w:lineRule="exact"/>
              <w:jc w:val="center"/>
              <w:rPr>
                <w:rFonts w:ascii="宋体" w:hAnsi="宋体"/>
                <w:kern w:val="2"/>
                <w:sz w:val="28"/>
                <w:szCs w:val="28"/>
              </w:rPr>
            </w:pPr>
            <w:r>
              <w:rPr>
                <w:rFonts w:ascii="宋体" w:hAnsi="宋体"/>
                <w:kern w:val="2"/>
                <w:sz w:val="28"/>
                <w:szCs w:val="28"/>
              </w:rPr>
              <w:t>1.3.2</w:t>
            </w:r>
          </w:p>
        </w:tc>
        <w:tc>
          <w:tcPr>
            <w:tcW w:w="2552" w:type="dxa"/>
            <w:gridSpan w:val="2"/>
            <w:vAlign w:val="center"/>
          </w:tcPr>
          <w:p w14:paraId="5BD6DA40">
            <w:pPr>
              <w:spacing w:line="360" w:lineRule="exact"/>
              <w:jc w:val="center"/>
              <w:rPr>
                <w:rFonts w:ascii="宋体"/>
                <w:kern w:val="2"/>
                <w:sz w:val="28"/>
                <w:szCs w:val="28"/>
              </w:rPr>
            </w:pPr>
            <w:r>
              <w:rPr>
                <w:rFonts w:hint="eastAsia" w:ascii="宋体" w:hAnsi="宋体"/>
                <w:kern w:val="2"/>
                <w:sz w:val="28"/>
                <w:szCs w:val="28"/>
              </w:rPr>
              <w:t>合同履行期限</w:t>
            </w:r>
          </w:p>
        </w:tc>
        <w:tc>
          <w:tcPr>
            <w:tcW w:w="5987" w:type="dxa"/>
            <w:vAlign w:val="center"/>
          </w:tcPr>
          <w:p w14:paraId="3DAA39B8">
            <w:pPr>
              <w:spacing w:line="460" w:lineRule="exact"/>
              <w:rPr>
                <w:rFonts w:ascii="宋体"/>
                <w:kern w:val="2"/>
                <w:sz w:val="28"/>
                <w:szCs w:val="28"/>
              </w:rPr>
            </w:pPr>
            <w:r>
              <w:rPr>
                <w:rFonts w:hint="eastAsia" w:ascii="宋体" w:hAnsi="宋体" w:cs="宋体"/>
                <w:color w:val="auto"/>
                <w:sz w:val="28"/>
                <w:szCs w:val="28"/>
                <w:lang w:val="en-US" w:eastAsia="zh-CN"/>
              </w:rPr>
              <w:t>服务期限</w:t>
            </w:r>
            <w:r>
              <w:rPr>
                <w:rFonts w:hint="eastAsia" w:ascii="宋体" w:hAnsi="宋体" w:cs="宋体"/>
                <w:color w:val="auto"/>
                <w:sz w:val="28"/>
                <w:szCs w:val="28"/>
              </w:rPr>
              <w:t>叁年，考核合格后每年一签</w:t>
            </w:r>
          </w:p>
        </w:tc>
      </w:tr>
      <w:tr w14:paraId="05BDD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575383A3">
            <w:pPr>
              <w:spacing w:line="360" w:lineRule="exact"/>
              <w:jc w:val="center"/>
              <w:rPr>
                <w:rFonts w:ascii="宋体" w:hAnsi="宋体"/>
                <w:kern w:val="2"/>
                <w:sz w:val="28"/>
                <w:szCs w:val="28"/>
              </w:rPr>
            </w:pPr>
            <w:r>
              <w:rPr>
                <w:rFonts w:ascii="宋体" w:hAnsi="宋体"/>
                <w:kern w:val="2"/>
                <w:sz w:val="28"/>
                <w:szCs w:val="28"/>
              </w:rPr>
              <w:t>1.4.2</w:t>
            </w:r>
          </w:p>
        </w:tc>
        <w:tc>
          <w:tcPr>
            <w:tcW w:w="2552" w:type="dxa"/>
            <w:gridSpan w:val="2"/>
            <w:vAlign w:val="center"/>
          </w:tcPr>
          <w:p w14:paraId="0F2789BC">
            <w:pPr>
              <w:spacing w:line="360" w:lineRule="exact"/>
              <w:jc w:val="center"/>
              <w:rPr>
                <w:rFonts w:ascii="宋体"/>
                <w:kern w:val="2"/>
                <w:sz w:val="28"/>
                <w:szCs w:val="28"/>
              </w:rPr>
            </w:pPr>
            <w:r>
              <w:rPr>
                <w:rFonts w:hint="eastAsia" w:ascii="宋体" w:hAnsi="宋体"/>
                <w:kern w:val="2"/>
                <w:sz w:val="28"/>
                <w:szCs w:val="28"/>
              </w:rPr>
              <w:t>要求供应商具备的特定条件</w:t>
            </w:r>
          </w:p>
        </w:tc>
        <w:tc>
          <w:tcPr>
            <w:tcW w:w="5987" w:type="dxa"/>
            <w:vAlign w:val="center"/>
          </w:tcPr>
          <w:p w14:paraId="5EFAB830">
            <w:pPr>
              <w:spacing w:line="420" w:lineRule="exact"/>
              <w:jc w:val="left"/>
              <w:rPr>
                <w:rFonts w:ascii="宋体" w:cs="宋体"/>
                <w:kern w:val="2"/>
                <w:sz w:val="28"/>
                <w:szCs w:val="28"/>
              </w:rPr>
            </w:pPr>
            <w:r>
              <w:rPr>
                <w:rFonts w:hint="eastAsia" w:ascii="宋体" w:hAnsi="宋体" w:cs="宋体"/>
                <w:kern w:val="2"/>
                <w:sz w:val="28"/>
                <w:szCs w:val="28"/>
              </w:rPr>
              <w:t>见招标公告“申请人的资格要求”</w:t>
            </w:r>
          </w:p>
        </w:tc>
      </w:tr>
      <w:tr w14:paraId="3451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89" w:type="dxa"/>
            <w:vAlign w:val="center"/>
          </w:tcPr>
          <w:p w14:paraId="34A855E6">
            <w:pPr>
              <w:spacing w:line="320" w:lineRule="exact"/>
              <w:jc w:val="center"/>
              <w:rPr>
                <w:rFonts w:ascii="宋体" w:hAnsi="宋体"/>
                <w:kern w:val="2"/>
                <w:sz w:val="28"/>
                <w:szCs w:val="28"/>
              </w:rPr>
            </w:pPr>
            <w:r>
              <w:rPr>
                <w:rFonts w:ascii="宋体" w:hAnsi="宋体"/>
                <w:kern w:val="2"/>
                <w:sz w:val="28"/>
                <w:szCs w:val="28"/>
              </w:rPr>
              <w:t>1.</w:t>
            </w:r>
            <w:r>
              <w:rPr>
                <w:rFonts w:hint="eastAsia" w:ascii="宋体" w:hAnsi="宋体"/>
                <w:kern w:val="2"/>
                <w:sz w:val="28"/>
                <w:szCs w:val="28"/>
              </w:rPr>
              <w:t>8</w:t>
            </w:r>
            <w:r>
              <w:rPr>
                <w:rFonts w:ascii="宋体" w:hAnsi="宋体"/>
                <w:kern w:val="2"/>
                <w:sz w:val="28"/>
                <w:szCs w:val="28"/>
              </w:rPr>
              <w:t>.2</w:t>
            </w:r>
          </w:p>
        </w:tc>
        <w:tc>
          <w:tcPr>
            <w:tcW w:w="2552" w:type="dxa"/>
            <w:gridSpan w:val="2"/>
            <w:vAlign w:val="center"/>
          </w:tcPr>
          <w:p w14:paraId="5DEA86C8">
            <w:pPr>
              <w:spacing w:line="320" w:lineRule="exact"/>
              <w:jc w:val="center"/>
              <w:rPr>
                <w:rFonts w:ascii="宋体"/>
                <w:kern w:val="2"/>
                <w:sz w:val="28"/>
                <w:szCs w:val="28"/>
                <w:highlight w:val="yellow"/>
              </w:rPr>
            </w:pPr>
            <w:r>
              <w:rPr>
                <w:rFonts w:hint="eastAsia" w:ascii="宋体" w:hAnsi="宋体"/>
                <w:kern w:val="2"/>
                <w:sz w:val="28"/>
                <w:szCs w:val="28"/>
              </w:rPr>
              <w:t>偏离</w:t>
            </w:r>
          </w:p>
        </w:tc>
        <w:tc>
          <w:tcPr>
            <w:tcW w:w="5987" w:type="dxa"/>
            <w:vAlign w:val="center"/>
          </w:tcPr>
          <w:p w14:paraId="495763A6">
            <w:pPr>
              <w:pStyle w:val="5"/>
              <w:spacing w:line="320" w:lineRule="exact"/>
              <w:rPr>
                <w:rFonts w:ascii="宋体"/>
                <w:kern w:val="2"/>
                <w:sz w:val="28"/>
                <w:szCs w:val="28"/>
                <w:highlight w:val="yellow"/>
              </w:rPr>
            </w:pPr>
            <w:bookmarkStart w:id="50" w:name="FBfe800446baa24252acf6b14953dc4897"/>
            <w:bookmarkEnd w:id="50"/>
            <w:bookmarkStart w:id="51" w:name="FEfe800446baa24252acf6b14953dc4897"/>
            <w:bookmarkEnd w:id="51"/>
            <w:r>
              <w:rPr>
                <w:rFonts w:hint="eastAsia" w:ascii="宋体"/>
                <w:b/>
                <w:bCs/>
                <w:kern w:val="2"/>
                <w:sz w:val="28"/>
                <w:szCs w:val="28"/>
              </w:rPr>
              <w:t>第五章采购需求</w:t>
            </w:r>
            <w:r>
              <w:rPr>
                <w:rFonts w:hint="eastAsia" w:ascii="宋体"/>
                <w:b/>
                <w:bCs/>
                <w:kern w:val="2"/>
                <w:sz w:val="28"/>
                <w:szCs w:val="28"/>
                <w:lang w:eastAsia="zh-CN"/>
              </w:rPr>
              <w:t>中“两院区物业岗位人员明细表”</w:t>
            </w:r>
            <w:r>
              <w:rPr>
                <w:rFonts w:hint="eastAsia" w:ascii="宋体"/>
                <w:b/>
                <w:bCs/>
                <w:kern w:val="2"/>
                <w:sz w:val="28"/>
                <w:szCs w:val="28"/>
              </w:rPr>
              <w:t>不允许负偏离</w:t>
            </w:r>
          </w:p>
        </w:tc>
      </w:tr>
      <w:tr w14:paraId="047B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0C967EA7">
            <w:pPr>
              <w:spacing w:line="360" w:lineRule="exact"/>
              <w:jc w:val="center"/>
              <w:rPr>
                <w:rFonts w:ascii="宋体" w:hAnsi="宋体"/>
                <w:kern w:val="2"/>
                <w:sz w:val="28"/>
                <w:szCs w:val="28"/>
              </w:rPr>
            </w:pPr>
            <w:r>
              <w:rPr>
                <w:rFonts w:ascii="宋体" w:hAnsi="宋体"/>
                <w:kern w:val="2"/>
                <w:sz w:val="28"/>
                <w:szCs w:val="28"/>
              </w:rPr>
              <w:t>2.1</w:t>
            </w:r>
          </w:p>
        </w:tc>
        <w:tc>
          <w:tcPr>
            <w:tcW w:w="2552" w:type="dxa"/>
            <w:gridSpan w:val="2"/>
            <w:vAlign w:val="center"/>
          </w:tcPr>
          <w:p w14:paraId="38F13EA6">
            <w:pPr>
              <w:spacing w:line="320" w:lineRule="exact"/>
              <w:jc w:val="center"/>
              <w:rPr>
                <w:rFonts w:ascii="宋体"/>
                <w:kern w:val="2"/>
                <w:sz w:val="28"/>
                <w:szCs w:val="28"/>
              </w:rPr>
            </w:pPr>
            <w:r>
              <w:rPr>
                <w:rFonts w:hint="eastAsia" w:ascii="宋体" w:hAnsi="宋体"/>
                <w:kern w:val="2"/>
                <w:sz w:val="28"/>
                <w:szCs w:val="28"/>
              </w:rPr>
              <w:t>构成招标文件的其他材料</w:t>
            </w:r>
          </w:p>
        </w:tc>
        <w:tc>
          <w:tcPr>
            <w:tcW w:w="5987" w:type="dxa"/>
            <w:vAlign w:val="center"/>
          </w:tcPr>
          <w:p w14:paraId="50FDA1EE">
            <w:pPr>
              <w:spacing w:line="360" w:lineRule="exact"/>
              <w:jc w:val="left"/>
              <w:rPr>
                <w:rFonts w:ascii="宋体"/>
                <w:kern w:val="2"/>
                <w:sz w:val="28"/>
                <w:szCs w:val="28"/>
                <w:highlight w:val="yellow"/>
              </w:rPr>
            </w:pPr>
            <w:bookmarkStart w:id="52" w:name="EB35ced2e8f8364f63a510bf246ff979f0"/>
            <w:bookmarkEnd w:id="52"/>
            <w:r>
              <w:rPr>
                <w:rFonts w:hint="eastAsia" w:ascii="宋体" w:hAnsi="宋体"/>
                <w:kern w:val="2"/>
                <w:sz w:val="28"/>
                <w:szCs w:val="28"/>
              </w:rPr>
              <w:t>无</w:t>
            </w:r>
          </w:p>
        </w:tc>
      </w:tr>
      <w:tr w14:paraId="6B80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76612507">
            <w:pPr>
              <w:spacing w:line="360" w:lineRule="exact"/>
              <w:jc w:val="center"/>
              <w:rPr>
                <w:rFonts w:ascii="宋体" w:hAnsi="宋体"/>
                <w:kern w:val="2"/>
                <w:sz w:val="28"/>
                <w:szCs w:val="28"/>
              </w:rPr>
            </w:pPr>
            <w:r>
              <w:rPr>
                <w:rFonts w:ascii="宋体" w:hAnsi="宋体"/>
                <w:kern w:val="2"/>
                <w:sz w:val="28"/>
                <w:szCs w:val="28"/>
              </w:rPr>
              <w:t>2.2</w:t>
            </w:r>
          </w:p>
        </w:tc>
        <w:tc>
          <w:tcPr>
            <w:tcW w:w="2552" w:type="dxa"/>
            <w:gridSpan w:val="2"/>
            <w:vAlign w:val="center"/>
          </w:tcPr>
          <w:p w14:paraId="237409D6">
            <w:pPr>
              <w:spacing w:line="360" w:lineRule="exact"/>
              <w:jc w:val="center"/>
              <w:rPr>
                <w:rFonts w:ascii="宋体"/>
                <w:kern w:val="2"/>
                <w:sz w:val="28"/>
                <w:szCs w:val="28"/>
              </w:rPr>
            </w:pPr>
            <w:r>
              <w:rPr>
                <w:rFonts w:hint="eastAsia" w:ascii="宋体" w:hAnsi="宋体"/>
                <w:kern w:val="2"/>
                <w:sz w:val="28"/>
                <w:szCs w:val="28"/>
              </w:rPr>
              <w:t>供应商要求澄清招标文件的截止时间</w:t>
            </w:r>
          </w:p>
        </w:tc>
        <w:tc>
          <w:tcPr>
            <w:tcW w:w="5987" w:type="dxa"/>
            <w:vAlign w:val="center"/>
          </w:tcPr>
          <w:p w14:paraId="255B4FF7">
            <w:pPr>
              <w:spacing w:line="440" w:lineRule="exact"/>
              <w:rPr>
                <w:rFonts w:ascii="宋体"/>
                <w:kern w:val="2"/>
                <w:sz w:val="28"/>
                <w:szCs w:val="28"/>
              </w:rPr>
            </w:pPr>
            <w:r>
              <w:rPr>
                <w:rFonts w:hint="eastAsia" w:ascii="宋体" w:hAnsi="宋体"/>
                <w:color w:val="FF0000"/>
                <w:kern w:val="2"/>
                <w:sz w:val="28"/>
              </w:rPr>
              <w:t>202</w:t>
            </w:r>
            <w:r>
              <w:rPr>
                <w:rFonts w:hint="eastAsia" w:ascii="宋体" w:hAnsi="宋体"/>
                <w:color w:val="FF0000"/>
                <w:kern w:val="2"/>
                <w:sz w:val="28"/>
                <w:lang w:val="en-US" w:eastAsia="zh-CN"/>
              </w:rPr>
              <w:t>5</w:t>
            </w:r>
            <w:r>
              <w:rPr>
                <w:rFonts w:hint="eastAsia" w:ascii="宋体" w:hAnsi="宋体"/>
                <w:color w:val="FF0000"/>
                <w:kern w:val="2"/>
                <w:sz w:val="28"/>
              </w:rPr>
              <w:t>年</w:t>
            </w:r>
            <w:r>
              <w:rPr>
                <w:rFonts w:hint="eastAsia" w:ascii="宋体" w:hAnsi="宋体"/>
                <w:color w:val="FF0000"/>
                <w:kern w:val="2"/>
                <w:sz w:val="28"/>
                <w:lang w:val="en-US" w:eastAsia="zh-CN"/>
              </w:rPr>
              <w:t>11</w:t>
            </w:r>
            <w:r>
              <w:rPr>
                <w:rFonts w:hint="eastAsia" w:ascii="宋体" w:hAnsi="宋体"/>
                <w:color w:val="FF0000"/>
                <w:kern w:val="2"/>
                <w:sz w:val="28"/>
              </w:rPr>
              <w:t>月</w:t>
            </w:r>
            <w:r>
              <w:rPr>
                <w:rFonts w:hint="eastAsia" w:ascii="宋体" w:hAnsi="宋体"/>
                <w:color w:val="FF0000"/>
                <w:kern w:val="2"/>
                <w:sz w:val="28"/>
                <w:lang w:val="en-US" w:eastAsia="zh-CN"/>
              </w:rPr>
              <w:t>24</w:t>
            </w:r>
            <w:r>
              <w:rPr>
                <w:rFonts w:hint="eastAsia" w:ascii="宋体" w:hAnsi="宋体"/>
                <w:color w:val="FF0000"/>
                <w:kern w:val="2"/>
                <w:sz w:val="28"/>
              </w:rPr>
              <w:t>日</w:t>
            </w:r>
            <w:r>
              <w:rPr>
                <w:rFonts w:hint="eastAsia" w:ascii="宋体" w:hAnsi="宋体"/>
                <w:color w:val="FF0000"/>
                <w:kern w:val="2"/>
                <w:sz w:val="28"/>
                <w:lang w:val="en-US" w:eastAsia="zh-CN"/>
              </w:rPr>
              <w:t xml:space="preserve"> </w:t>
            </w:r>
            <w:r>
              <w:rPr>
                <w:rFonts w:hint="eastAsia" w:ascii="宋体" w:hAnsi="宋体"/>
                <w:color w:val="FF0000"/>
                <w:kern w:val="2"/>
                <w:sz w:val="28"/>
              </w:rPr>
              <w:t>17时30分</w:t>
            </w:r>
          </w:p>
        </w:tc>
      </w:tr>
      <w:tr w14:paraId="5657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3FC66684">
            <w:pPr>
              <w:spacing w:line="380" w:lineRule="exact"/>
              <w:jc w:val="center"/>
              <w:rPr>
                <w:rFonts w:ascii="宋体" w:hAnsi="宋体"/>
                <w:kern w:val="2"/>
                <w:sz w:val="28"/>
                <w:szCs w:val="28"/>
              </w:rPr>
            </w:pPr>
            <w:r>
              <w:rPr>
                <w:rFonts w:hint="eastAsia" w:ascii="宋体" w:hAnsi="宋体"/>
                <w:kern w:val="2"/>
                <w:sz w:val="28"/>
                <w:szCs w:val="28"/>
              </w:rPr>
              <w:t>3.1</w:t>
            </w:r>
          </w:p>
        </w:tc>
        <w:tc>
          <w:tcPr>
            <w:tcW w:w="2552" w:type="dxa"/>
            <w:gridSpan w:val="2"/>
            <w:vAlign w:val="center"/>
          </w:tcPr>
          <w:p w14:paraId="261E7B8D">
            <w:pPr>
              <w:spacing w:line="380" w:lineRule="exact"/>
              <w:jc w:val="center"/>
              <w:rPr>
                <w:rFonts w:ascii="宋体" w:hAnsi="宋体" w:cs="宋体"/>
                <w:kern w:val="2"/>
                <w:sz w:val="28"/>
                <w:szCs w:val="28"/>
              </w:rPr>
            </w:pPr>
            <w:r>
              <w:rPr>
                <w:rFonts w:hint="eastAsia" w:ascii="宋体" w:hAnsi="宋体" w:cs="宋体"/>
                <w:kern w:val="2"/>
                <w:sz w:val="28"/>
                <w:szCs w:val="28"/>
              </w:rPr>
              <w:t>投标文件的组成</w:t>
            </w:r>
          </w:p>
        </w:tc>
        <w:tc>
          <w:tcPr>
            <w:tcW w:w="5987" w:type="dxa"/>
            <w:vAlign w:val="center"/>
          </w:tcPr>
          <w:p w14:paraId="5C5E85BC">
            <w:pPr>
              <w:spacing w:line="400" w:lineRule="exact"/>
              <w:rPr>
                <w:rFonts w:ascii="宋体" w:hAnsi="宋体" w:cs="宋体"/>
                <w:kern w:val="2"/>
                <w:sz w:val="28"/>
              </w:rPr>
            </w:pPr>
            <w:r>
              <w:rPr>
                <w:rFonts w:hint="eastAsia" w:ascii="宋体" w:hAnsi="宋体" w:cs="宋体"/>
                <w:kern w:val="2"/>
                <w:sz w:val="28"/>
              </w:rPr>
              <w:t>（1）开标一览表；</w:t>
            </w:r>
          </w:p>
          <w:p w14:paraId="3A51A53F">
            <w:pPr>
              <w:spacing w:line="400" w:lineRule="exact"/>
              <w:rPr>
                <w:rFonts w:ascii="宋体" w:hAnsi="宋体" w:cs="宋体"/>
                <w:kern w:val="2"/>
                <w:sz w:val="28"/>
              </w:rPr>
            </w:pPr>
            <w:r>
              <w:rPr>
                <w:rFonts w:hint="eastAsia" w:ascii="宋体" w:hAnsi="宋体" w:cs="宋体"/>
                <w:kern w:val="2"/>
                <w:sz w:val="28"/>
              </w:rPr>
              <w:t>（2）投标函；</w:t>
            </w:r>
          </w:p>
          <w:p w14:paraId="3F210F86">
            <w:pPr>
              <w:spacing w:line="400" w:lineRule="exact"/>
              <w:rPr>
                <w:rFonts w:ascii="宋体" w:hAnsi="宋体" w:cs="宋体"/>
                <w:kern w:val="2"/>
                <w:sz w:val="28"/>
              </w:rPr>
            </w:pPr>
            <w:r>
              <w:rPr>
                <w:rFonts w:hint="eastAsia" w:ascii="宋体" w:hAnsi="宋体" w:cs="宋体"/>
                <w:kern w:val="2"/>
                <w:sz w:val="28"/>
              </w:rPr>
              <w:t>（3）中小企业声明函（若有）；</w:t>
            </w:r>
          </w:p>
          <w:p w14:paraId="029B9D2D">
            <w:pPr>
              <w:spacing w:line="400" w:lineRule="exact"/>
              <w:rPr>
                <w:rFonts w:ascii="宋体" w:hAnsi="宋体" w:cs="宋体"/>
                <w:kern w:val="2"/>
                <w:sz w:val="28"/>
              </w:rPr>
            </w:pPr>
            <w:r>
              <w:rPr>
                <w:rFonts w:hint="eastAsia" w:ascii="宋体" w:hAnsi="宋体" w:cs="宋体"/>
                <w:kern w:val="2"/>
                <w:sz w:val="28"/>
              </w:rPr>
              <w:t>（4）投标报价明细表及分析说明；</w:t>
            </w:r>
          </w:p>
          <w:p w14:paraId="0DDA8BEE">
            <w:pPr>
              <w:spacing w:line="400" w:lineRule="exact"/>
              <w:rPr>
                <w:rFonts w:ascii="宋体" w:hAnsi="宋体" w:cs="宋体"/>
                <w:kern w:val="2"/>
                <w:sz w:val="28"/>
              </w:rPr>
            </w:pPr>
            <w:r>
              <w:rPr>
                <w:rFonts w:hint="eastAsia" w:ascii="宋体" w:hAnsi="宋体" w:cs="宋体"/>
                <w:kern w:val="2"/>
                <w:sz w:val="28"/>
              </w:rPr>
              <w:t>（5）资格性审查和符合性评审文件；</w:t>
            </w:r>
          </w:p>
          <w:p w14:paraId="0A40AEFD">
            <w:pPr>
              <w:spacing w:line="400" w:lineRule="exact"/>
              <w:rPr>
                <w:rFonts w:ascii="宋体" w:hAnsi="宋体" w:cs="宋体"/>
                <w:kern w:val="2"/>
                <w:sz w:val="28"/>
              </w:rPr>
            </w:pPr>
            <w:r>
              <w:rPr>
                <w:rFonts w:hint="eastAsia" w:ascii="宋体" w:hAnsi="宋体" w:cs="宋体"/>
                <w:kern w:val="2"/>
                <w:sz w:val="28"/>
              </w:rPr>
              <w:t>（6）采购需求响应表；</w:t>
            </w:r>
          </w:p>
          <w:p w14:paraId="313A1BC5">
            <w:pPr>
              <w:spacing w:line="400" w:lineRule="exact"/>
              <w:rPr>
                <w:rFonts w:ascii="宋体" w:hAnsi="宋体" w:cs="宋体"/>
                <w:kern w:val="2"/>
                <w:sz w:val="28"/>
              </w:rPr>
            </w:pPr>
            <w:r>
              <w:rPr>
                <w:rFonts w:hint="eastAsia" w:ascii="宋体" w:hAnsi="宋体" w:cs="宋体"/>
                <w:kern w:val="2"/>
                <w:sz w:val="28"/>
              </w:rPr>
              <w:t>（7）对照第三章评标办法，认为应列入投标文件的其他材料。</w:t>
            </w:r>
          </w:p>
        </w:tc>
      </w:tr>
      <w:tr w14:paraId="12A38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6377DD20">
            <w:pPr>
              <w:spacing w:line="380" w:lineRule="exact"/>
              <w:jc w:val="center"/>
              <w:rPr>
                <w:rFonts w:ascii="宋体" w:hAnsi="宋体"/>
                <w:kern w:val="2"/>
                <w:sz w:val="28"/>
                <w:szCs w:val="28"/>
              </w:rPr>
            </w:pPr>
            <w:r>
              <w:rPr>
                <w:rFonts w:ascii="宋体" w:hAnsi="宋体"/>
                <w:kern w:val="2"/>
                <w:sz w:val="28"/>
                <w:szCs w:val="28"/>
              </w:rPr>
              <w:t>3.3.1</w:t>
            </w:r>
          </w:p>
        </w:tc>
        <w:tc>
          <w:tcPr>
            <w:tcW w:w="2552" w:type="dxa"/>
            <w:gridSpan w:val="2"/>
            <w:vAlign w:val="center"/>
          </w:tcPr>
          <w:p w14:paraId="2D37BCC9">
            <w:pPr>
              <w:spacing w:line="380" w:lineRule="exact"/>
              <w:jc w:val="center"/>
              <w:rPr>
                <w:rFonts w:ascii="宋体"/>
                <w:kern w:val="2"/>
                <w:sz w:val="28"/>
                <w:szCs w:val="28"/>
              </w:rPr>
            </w:pPr>
            <w:r>
              <w:rPr>
                <w:rFonts w:hint="eastAsia" w:ascii="宋体" w:hAnsi="宋体" w:cs="宋体"/>
                <w:kern w:val="2"/>
                <w:sz w:val="28"/>
                <w:szCs w:val="28"/>
              </w:rPr>
              <w:t>投标有效期</w:t>
            </w:r>
          </w:p>
        </w:tc>
        <w:tc>
          <w:tcPr>
            <w:tcW w:w="5987" w:type="dxa"/>
            <w:vAlign w:val="center"/>
          </w:tcPr>
          <w:p w14:paraId="3307455A">
            <w:pPr>
              <w:spacing w:line="440" w:lineRule="exact"/>
              <w:rPr>
                <w:rFonts w:ascii="宋体"/>
                <w:kern w:val="2"/>
                <w:sz w:val="28"/>
                <w:szCs w:val="28"/>
              </w:rPr>
            </w:pPr>
            <w:r>
              <w:rPr>
                <w:rFonts w:hint="eastAsia" w:ascii="宋体" w:hAnsi="宋体" w:cs="宋体"/>
                <w:kern w:val="2"/>
                <w:sz w:val="28"/>
              </w:rPr>
              <w:t>60天</w:t>
            </w:r>
          </w:p>
        </w:tc>
      </w:tr>
      <w:tr w14:paraId="7D4EF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4FB4CA06">
            <w:pPr>
              <w:spacing w:line="380" w:lineRule="exact"/>
              <w:jc w:val="center"/>
              <w:rPr>
                <w:rFonts w:ascii="宋体" w:hAnsi="宋体"/>
                <w:kern w:val="2"/>
                <w:sz w:val="28"/>
                <w:szCs w:val="28"/>
              </w:rPr>
            </w:pPr>
            <w:r>
              <w:rPr>
                <w:rFonts w:ascii="宋体" w:hAnsi="宋体"/>
                <w:kern w:val="2"/>
                <w:sz w:val="28"/>
                <w:szCs w:val="28"/>
              </w:rPr>
              <w:t>3.</w:t>
            </w:r>
            <w:r>
              <w:rPr>
                <w:rFonts w:hint="eastAsia" w:ascii="宋体" w:hAnsi="宋体"/>
                <w:kern w:val="2"/>
                <w:sz w:val="28"/>
                <w:szCs w:val="28"/>
              </w:rPr>
              <w:t>4</w:t>
            </w:r>
            <w:r>
              <w:rPr>
                <w:rFonts w:ascii="宋体" w:hAnsi="宋体"/>
                <w:kern w:val="2"/>
                <w:sz w:val="28"/>
                <w:szCs w:val="28"/>
              </w:rPr>
              <w:t>.</w:t>
            </w:r>
            <w:r>
              <w:rPr>
                <w:rFonts w:hint="eastAsia" w:ascii="宋体" w:hAnsi="宋体"/>
                <w:kern w:val="2"/>
                <w:sz w:val="28"/>
                <w:szCs w:val="28"/>
              </w:rPr>
              <w:t>3</w:t>
            </w:r>
          </w:p>
        </w:tc>
        <w:tc>
          <w:tcPr>
            <w:tcW w:w="2552" w:type="dxa"/>
            <w:gridSpan w:val="2"/>
            <w:vAlign w:val="center"/>
          </w:tcPr>
          <w:p w14:paraId="0CAAD8AE">
            <w:pPr>
              <w:spacing w:line="380" w:lineRule="exact"/>
              <w:jc w:val="center"/>
              <w:rPr>
                <w:rFonts w:ascii="宋体" w:hAnsi="宋体"/>
                <w:kern w:val="2"/>
                <w:sz w:val="28"/>
                <w:szCs w:val="28"/>
              </w:rPr>
            </w:pPr>
            <w:r>
              <w:rPr>
                <w:rFonts w:hint="eastAsia" w:ascii="宋体" w:hAnsi="宋体"/>
                <w:kern w:val="2"/>
                <w:sz w:val="28"/>
                <w:szCs w:val="28"/>
              </w:rPr>
              <w:t>投标文件的份数</w:t>
            </w:r>
          </w:p>
        </w:tc>
        <w:tc>
          <w:tcPr>
            <w:tcW w:w="5987" w:type="dxa"/>
            <w:vAlign w:val="center"/>
          </w:tcPr>
          <w:p w14:paraId="071EA313">
            <w:pPr>
              <w:spacing w:line="380" w:lineRule="exact"/>
              <w:rPr>
                <w:rFonts w:ascii="宋体" w:hAnsi="宋体"/>
                <w:kern w:val="2"/>
                <w:sz w:val="28"/>
                <w:szCs w:val="28"/>
              </w:rPr>
            </w:pPr>
            <w:r>
              <w:rPr>
                <w:rFonts w:hint="eastAsia" w:ascii="宋体" w:hAnsi="宋体"/>
                <w:kern w:val="2"/>
                <w:sz w:val="28"/>
                <w:szCs w:val="28"/>
              </w:rPr>
              <w:t>电子投标文件壹份；</w:t>
            </w:r>
          </w:p>
        </w:tc>
      </w:tr>
      <w:tr w14:paraId="4672A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9F25D45">
            <w:pPr>
              <w:spacing w:line="360" w:lineRule="exact"/>
              <w:jc w:val="center"/>
              <w:rPr>
                <w:rFonts w:ascii="宋体" w:hAnsi="宋体"/>
                <w:kern w:val="2"/>
                <w:sz w:val="28"/>
                <w:szCs w:val="28"/>
              </w:rPr>
            </w:pPr>
            <w:r>
              <w:rPr>
                <w:rFonts w:hint="eastAsia" w:ascii="宋体" w:hAnsi="宋体"/>
                <w:kern w:val="2"/>
                <w:sz w:val="28"/>
                <w:szCs w:val="28"/>
              </w:rPr>
              <w:t>3.4.4</w:t>
            </w:r>
          </w:p>
        </w:tc>
        <w:tc>
          <w:tcPr>
            <w:tcW w:w="2552" w:type="dxa"/>
            <w:gridSpan w:val="2"/>
            <w:vAlign w:val="center"/>
          </w:tcPr>
          <w:p w14:paraId="0EFBD478">
            <w:pPr>
              <w:jc w:val="center"/>
              <w:rPr>
                <w:rFonts w:ascii="宋体" w:hAnsi="宋体" w:cs="宋体"/>
                <w:kern w:val="2"/>
                <w:sz w:val="28"/>
                <w:szCs w:val="28"/>
              </w:rPr>
            </w:pPr>
            <w:r>
              <w:rPr>
                <w:rFonts w:hint="eastAsia" w:ascii="宋体" w:hAnsi="宋体" w:cs="宋体"/>
                <w:kern w:val="2"/>
                <w:sz w:val="28"/>
                <w:szCs w:val="28"/>
              </w:rPr>
              <w:t>投标文件的签署</w:t>
            </w:r>
          </w:p>
        </w:tc>
        <w:tc>
          <w:tcPr>
            <w:tcW w:w="5987" w:type="dxa"/>
            <w:vAlign w:val="center"/>
          </w:tcPr>
          <w:p w14:paraId="5D895783">
            <w:pPr>
              <w:spacing w:line="360" w:lineRule="exact"/>
              <w:jc w:val="left"/>
              <w:rPr>
                <w:rFonts w:ascii="宋体" w:hAnsi="宋体"/>
                <w:kern w:val="2"/>
                <w:sz w:val="28"/>
                <w:szCs w:val="28"/>
              </w:rPr>
            </w:pPr>
            <w:r>
              <w:rPr>
                <w:rFonts w:hint="eastAsia" w:ascii="宋体" w:hAnsi="宋体"/>
                <w:kern w:val="2"/>
                <w:sz w:val="28"/>
                <w:szCs w:val="28"/>
              </w:rPr>
              <w:t>1.投标函、供应商基本资格条件承诺函中须加盖供应商法人章并经法定代表人签字或签章。</w:t>
            </w:r>
          </w:p>
          <w:p w14:paraId="0ADEB6C7">
            <w:pPr>
              <w:spacing w:line="360" w:lineRule="exact"/>
              <w:jc w:val="left"/>
              <w:rPr>
                <w:rFonts w:ascii="宋体" w:hAnsi="宋体" w:cs="宋体"/>
                <w:kern w:val="2"/>
                <w:sz w:val="28"/>
              </w:rPr>
            </w:pPr>
            <w:r>
              <w:rPr>
                <w:rFonts w:hint="eastAsia" w:ascii="宋体" w:hAnsi="宋体"/>
                <w:kern w:val="2"/>
                <w:sz w:val="28"/>
                <w:szCs w:val="28"/>
              </w:rPr>
              <w:t>2.投标文件中的任何重要的插字、涂改和增删，修改处须有法定代表人签章或签字。</w:t>
            </w:r>
          </w:p>
        </w:tc>
      </w:tr>
      <w:tr w14:paraId="6F0E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7CECF7C0">
            <w:pPr>
              <w:spacing w:line="360" w:lineRule="exact"/>
              <w:jc w:val="center"/>
              <w:rPr>
                <w:rFonts w:ascii="宋体" w:hAnsi="宋体"/>
                <w:kern w:val="2"/>
                <w:sz w:val="28"/>
                <w:szCs w:val="28"/>
              </w:rPr>
            </w:pPr>
            <w:r>
              <w:rPr>
                <w:rFonts w:ascii="宋体" w:hAnsi="宋体"/>
                <w:kern w:val="2"/>
                <w:sz w:val="28"/>
                <w:szCs w:val="28"/>
              </w:rPr>
              <w:t>5.1.1</w:t>
            </w:r>
          </w:p>
        </w:tc>
        <w:tc>
          <w:tcPr>
            <w:tcW w:w="2552" w:type="dxa"/>
            <w:gridSpan w:val="2"/>
            <w:vAlign w:val="center"/>
          </w:tcPr>
          <w:p w14:paraId="7CFC3514">
            <w:pPr>
              <w:jc w:val="center"/>
              <w:rPr>
                <w:rFonts w:ascii="宋体"/>
                <w:kern w:val="2"/>
                <w:sz w:val="28"/>
                <w:szCs w:val="28"/>
              </w:rPr>
            </w:pPr>
            <w:r>
              <w:rPr>
                <w:rFonts w:hint="eastAsia" w:ascii="宋体" w:hAnsi="宋体" w:cs="宋体"/>
                <w:kern w:val="2"/>
                <w:sz w:val="28"/>
                <w:szCs w:val="28"/>
              </w:rPr>
              <w:t>开标时间和地点</w:t>
            </w:r>
          </w:p>
        </w:tc>
        <w:tc>
          <w:tcPr>
            <w:tcW w:w="5987" w:type="dxa"/>
            <w:vAlign w:val="center"/>
          </w:tcPr>
          <w:p w14:paraId="46550E77">
            <w:pPr>
              <w:spacing w:line="360" w:lineRule="exact"/>
              <w:jc w:val="left"/>
              <w:rPr>
                <w:rFonts w:ascii="宋体" w:hAnsi="宋体"/>
                <w:kern w:val="2"/>
                <w:sz w:val="28"/>
                <w:szCs w:val="28"/>
              </w:rPr>
            </w:pPr>
            <w:r>
              <w:rPr>
                <w:rFonts w:hint="eastAsia" w:ascii="宋体" w:hAnsi="宋体"/>
                <w:kern w:val="2"/>
                <w:sz w:val="28"/>
                <w:szCs w:val="28"/>
              </w:rPr>
              <w:t>开标时间：</w:t>
            </w:r>
            <w:bookmarkStart w:id="53" w:name="EB72e20e40757d438698d0d924b6237fcc"/>
            <w:bookmarkEnd w:id="53"/>
            <w:r>
              <w:rPr>
                <w:rFonts w:hint="eastAsia" w:ascii="宋体" w:hAnsi="宋体"/>
                <w:kern w:val="2"/>
                <w:sz w:val="28"/>
                <w:szCs w:val="28"/>
              </w:rPr>
              <w:t>同投标截止时间</w:t>
            </w:r>
          </w:p>
          <w:p w14:paraId="7B65EEBD">
            <w:pPr>
              <w:spacing w:line="360" w:lineRule="exact"/>
              <w:jc w:val="left"/>
              <w:rPr>
                <w:rFonts w:ascii="宋体"/>
                <w:kern w:val="2"/>
                <w:sz w:val="28"/>
                <w:szCs w:val="28"/>
              </w:rPr>
            </w:pPr>
            <w:r>
              <w:rPr>
                <w:rFonts w:hint="eastAsia" w:ascii="宋体" w:hAnsi="宋体"/>
                <w:kern w:val="2"/>
                <w:sz w:val="28"/>
                <w:szCs w:val="28"/>
              </w:rPr>
              <w:t>开标地点：</w:t>
            </w:r>
            <w:r>
              <w:rPr>
                <w:rFonts w:hint="eastAsia" w:asciiTheme="majorEastAsia" w:hAnsiTheme="majorEastAsia" w:eastAsiaTheme="majorEastAsia"/>
                <w:kern w:val="2"/>
                <w:sz w:val="28"/>
                <w:szCs w:val="28"/>
              </w:rPr>
              <w:t>“苏采云”系统“开标大厅”</w:t>
            </w:r>
          </w:p>
        </w:tc>
      </w:tr>
      <w:tr w14:paraId="7F00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6E845299">
            <w:pPr>
              <w:spacing w:line="360" w:lineRule="exact"/>
              <w:jc w:val="center"/>
              <w:rPr>
                <w:rFonts w:ascii="宋体" w:hAnsi="宋体"/>
                <w:kern w:val="2"/>
                <w:sz w:val="28"/>
                <w:szCs w:val="28"/>
              </w:rPr>
            </w:pPr>
            <w:r>
              <w:rPr>
                <w:rFonts w:hint="eastAsia" w:ascii="宋体" w:hAnsi="宋体"/>
                <w:kern w:val="2"/>
                <w:sz w:val="28"/>
                <w:szCs w:val="28"/>
              </w:rPr>
              <w:t>5.1.2</w:t>
            </w:r>
          </w:p>
        </w:tc>
        <w:tc>
          <w:tcPr>
            <w:tcW w:w="2552" w:type="dxa"/>
            <w:gridSpan w:val="2"/>
            <w:vAlign w:val="center"/>
          </w:tcPr>
          <w:p w14:paraId="0D79B49D">
            <w:pPr>
              <w:spacing w:line="460" w:lineRule="exact"/>
              <w:jc w:val="center"/>
              <w:rPr>
                <w:rFonts w:ascii="宋体" w:hAnsi="宋体" w:cs="宋体"/>
                <w:kern w:val="2"/>
                <w:sz w:val="28"/>
                <w:szCs w:val="28"/>
              </w:rPr>
            </w:pPr>
            <w:r>
              <w:rPr>
                <w:rFonts w:hint="eastAsia" w:ascii="宋体" w:hAnsi="宋体" w:cs="宋体"/>
                <w:kern w:val="2"/>
                <w:sz w:val="28"/>
                <w:szCs w:val="28"/>
              </w:rPr>
              <w:t>供应商参与开标要求</w:t>
            </w:r>
          </w:p>
        </w:tc>
        <w:tc>
          <w:tcPr>
            <w:tcW w:w="5987" w:type="dxa"/>
            <w:vAlign w:val="center"/>
          </w:tcPr>
          <w:p w14:paraId="01253329">
            <w:pPr>
              <w:spacing w:line="360" w:lineRule="exact"/>
              <w:jc w:val="left"/>
              <w:rPr>
                <w:rFonts w:ascii="宋体" w:hAnsi="宋体"/>
                <w:kern w:val="2"/>
                <w:sz w:val="28"/>
                <w:szCs w:val="28"/>
              </w:rPr>
            </w:pPr>
            <w:r>
              <w:rPr>
                <w:rFonts w:hint="eastAsia" w:ascii="宋体" w:hAnsi="宋体"/>
                <w:kern w:val="2"/>
                <w:sz w:val="28"/>
                <w:szCs w:val="28"/>
              </w:rPr>
              <w:t>开标活动将在招标公告中规定的时间和地点进行。供应商应当按照</w:t>
            </w:r>
            <w:r>
              <w:rPr>
                <w:rFonts w:hint="eastAsia" w:ascii="宋体" w:hAnsi="宋体"/>
                <w:b/>
                <w:color w:val="FF0000"/>
                <w:kern w:val="2"/>
                <w:sz w:val="28"/>
                <w:szCs w:val="28"/>
              </w:rPr>
              <w:t>《江苏省政府采购管理交易系统（苏采云）供应商操作手册》</w:t>
            </w:r>
            <w:r>
              <w:rPr>
                <w:rFonts w:hint="eastAsia" w:ascii="宋体" w:hAnsi="宋体"/>
                <w:kern w:val="2"/>
                <w:sz w:val="28"/>
                <w:szCs w:val="28"/>
              </w:rPr>
              <w:t>规定，参加开标活动。</w:t>
            </w:r>
          </w:p>
        </w:tc>
      </w:tr>
      <w:tr w14:paraId="3338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89" w:type="dxa"/>
            <w:vAlign w:val="center"/>
          </w:tcPr>
          <w:p w14:paraId="31A1822F">
            <w:pPr>
              <w:spacing w:line="360" w:lineRule="exact"/>
              <w:jc w:val="center"/>
              <w:rPr>
                <w:rFonts w:ascii="宋体" w:hAnsi="宋体"/>
                <w:kern w:val="2"/>
                <w:sz w:val="28"/>
                <w:szCs w:val="28"/>
              </w:rPr>
            </w:pPr>
            <w:r>
              <w:rPr>
                <w:rFonts w:ascii="宋体" w:hAnsi="宋体"/>
                <w:kern w:val="2"/>
                <w:sz w:val="28"/>
                <w:szCs w:val="28"/>
              </w:rPr>
              <w:t>6.1.1</w:t>
            </w:r>
          </w:p>
        </w:tc>
        <w:tc>
          <w:tcPr>
            <w:tcW w:w="2552" w:type="dxa"/>
            <w:gridSpan w:val="2"/>
            <w:vAlign w:val="center"/>
          </w:tcPr>
          <w:p w14:paraId="13A754FE">
            <w:pPr>
              <w:spacing w:line="360" w:lineRule="exact"/>
              <w:jc w:val="center"/>
              <w:rPr>
                <w:rFonts w:ascii="宋体"/>
                <w:kern w:val="2"/>
                <w:sz w:val="28"/>
                <w:szCs w:val="28"/>
              </w:rPr>
            </w:pPr>
            <w:r>
              <w:rPr>
                <w:rFonts w:hint="eastAsia" w:ascii="宋体" w:hAnsi="宋体" w:cs="宋体"/>
                <w:kern w:val="2"/>
                <w:sz w:val="28"/>
                <w:szCs w:val="28"/>
              </w:rPr>
              <w:t>评标委员会</w:t>
            </w:r>
          </w:p>
        </w:tc>
        <w:tc>
          <w:tcPr>
            <w:tcW w:w="5987" w:type="dxa"/>
            <w:vAlign w:val="center"/>
          </w:tcPr>
          <w:p w14:paraId="11D142FF">
            <w:pPr>
              <w:spacing w:line="360" w:lineRule="exact"/>
              <w:jc w:val="left"/>
              <w:rPr>
                <w:rFonts w:ascii="宋体"/>
                <w:kern w:val="2"/>
                <w:sz w:val="28"/>
                <w:szCs w:val="28"/>
              </w:rPr>
            </w:pPr>
            <w:r>
              <w:rPr>
                <w:rFonts w:hint="eastAsia" w:ascii="宋体" w:hAnsi="宋体" w:cs="宋体"/>
                <w:kern w:val="2"/>
                <w:sz w:val="28"/>
                <w:szCs w:val="28"/>
              </w:rPr>
              <w:t>评标委员会人数</w:t>
            </w:r>
            <w:r>
              <w:rPr>
                <w:rFonts w:hint="eastAsia" w:ascii="宋体" w:hAnsi="宋体"/>
                <w:kern w:val="2"/>
                <w:sz w:val="28"/>
                <w:szCs w:val="28"/>
              </w:rPr>
              <w:t>：</w:t>
            </w:r>
            <w:r>
              <w:rPr>
                <w:rFonts w:ascii="宋体" w:hAnsi="宋体"/>
                <w:color w:val="000000" w:themeColor="text1"/>
                <w:kern w:val="2"/>
                <w:sz w:val="28"/>
                <w:szCs w:val="28"/>
                <w:u w:val="single"/>
                <w14:textFill>
                  <w14:solidFill>
                    <w14:schemeClr w14:val="tx1"/>
                  </w14:solidFill>
                </w14:textFill>
              </w:rPr>
              <w:t xml:space="preserve"> </w:t>
            </w:r>
            <w:r>
              <w:rPr>
                <w:rFonts w:hint="eastAsia" w:ascii="宋体" w:hAnsi="宋体"/>
                <w:color w:val="000000" w:themeColor="text1"/>
                <w:kern w:val="2"/>
                <w:sz w:val="28"/>
                <w:szCs w:val="28"/>
                <w:u w:val="single"/>
                <w:lang w:val="en-US" w:eastAsia="zh-CN"/>
                <w14:textFill>
                  <w14:solidFill>
                    <w14:schemeClr w14:val="tx1"/>
                  </w14:solidFill>
                </w14:textFill>
              </w:rPr>
              <w:t>5</w:t>
            </w:r>
            <w:r>
              <w:rPr>
                <w:rFonts w:ascii="宋体" w:hAnsi="宋体"/>
                <w:color w:val="000000" w:themeColor="text1"/>
                <w:kern w:val="2"/>
                <w:sz w:val="28"/>
                <w:szCs w:val="28"/>
                <w:u w:val="single"/>
                <w14:textFill>
                  <w14:solidFill>
                    <w14:schemeClr w14:val="tx1"/>
                  </w14:solidFill>
                </w14:textFill>
              </w:rPr>
              <w:t xml:space="preserve"> </w:t>
            </w:r>
            <w:r>
              <w:rPr>
                <w:rFonts w:hint="eastAsia" w:ascii="宋体" w:hAnsi="宋体"/>
                <w:color w:val="000000" w:themeColor="text1"/>
                <w:kern w:val="2"/>
                <w:sz w:val="28"/>
                <w:szCs w:val="28"/>
                <w14:textFill>
                  <w14:solidFill>
                    <w14:schemeClr w14:val="tx1"/>
                  </w14:solidFill>
                </w14:textFill>
              </w:rPr>
              <w:t>人。</w:t>
            </w:r>
          </w:p>
        </w:tc>
      </w:tr>
      <w:tr w14:paraId="67F19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2E4E475B">
            <w:pPr>
              <w:spacing w:line="360" w:lineRule="exact"/>
              <w:jc w:val="center"/>
              <w:rPr>
                <w:rFonts w:ascii="宋体" w:hAnsi="宋体"/>
                <w:kern w:val="2"/>
                <w:sz w:val="28"/>
                <w:szCs w:val="28"/>
              </w:rPr>
            </w:pPr>
            <w:r>
              <w:rPr>
                <w:rFonts w:ascii="宋体" w:hAnsi="宋体"/>
                <w:kern w:val="2"/>
                <w:sz w:val="28"/>
                <w:szCs w:val="28"/>
              </w:rPr>
              <w:t>7.2</w:t>
            </w:r>
            <w:r>
              <w:rPr>
                <w:rFonts w:hint="eastAsia" w:ascii="宋体" w:hAnsi="宋体"/>
                <w:kern w:val="2"/>
                <w:sz w:val="28"/>
                <w:szCs w:val="28"/>
              </w:rPr>
              <w:t>.1</w:t>
            </w:r>
          </w:p>
        </w:tc>
        <w:tc>
          <w:tcPr>
            <w:tcW w:w="2552" w:type="dxa"/>
            <w:gridSpan w:val="2"/>
            <w:vAlign w:val="center"/>
          </w:tcPr>
          <w:p w14:paraId="3384FF1D">
            <w:pPr>
              <w:jc w:val="center"/>
              <w:rPr>
                <w:rFonts w:ascii="宋体"/>
                <w:kern w:val="2"/>
                <w:sz w:val="28"/>
                <w:szCs w:val="28"/>
              </w:rPr>
            </w:pPr>
            <w:r>
              <w:rPr>
                <w:rFonts w:hint="eastAsia" w:ascii="宋体" w:hAnsi="宋体" w:cs="宋体"/>
                <w:kern w:val="2"/>
                <w:sz w:val="28"/>
                <w:szCs w:val="28"/>
              </w:rPr>
              <w:t>中标公告媒介</w:t>
            </w:r>
          </w:p>
        </w:tc>
        <w:tc>
          <w:tcPr>
            <w:tcW w:w="5987" w:type="dxa"/>
            <w:vAlign w:val="center"/>
          </w:tcPr>
          <w:p w14:paraId="049E55C7">
            <w:pPr>
              <w:spacing w:line="360" w:lineRule="exact"/>
              <w:jc w:val="left"/>
              <w:rPr>
                <w:rFonts w:ascii="宋体" w:hAnsi="宋体" w:cs="宋体"/>
                <w:kern w:val="2"/>
                <w:sz w:val="28"/>
                <w:szCs w:val="28"/>
              </w:rPr>
            </w:pPr>
            <w:r>
              <w:rPr>
                <w:rFonts w:hint="eastAsia" w:ascii="宋体" w:hAnsi="宋体" w:cs="宋体"/>
                <w:kern w:val="2"/>
                <w:sz w:val="28"/>
                <w:szCs w:val="28"/>
              </w:rPr>
              <w:t>江苏政府采购网（</w:t>
            </w:r>
            <w:r>
              <w:rPr>
                <w:rFonts w:ascii="宋体" w:hAnsi="宋体" w:cs="宋体"/>
                <w:kern w:val="2"/>
                <w:sz w:val="28"/>
                <w:szCs w:val="28"/>
              </w:rPr>
              <w:t>www.ccgp-jiangsu.gov.cn</w:t>
            </w:r>
            <w:r>
              <w:rPr>
                <w:rFonts w:hint="eastAsia" w:ascii="宋体" w:hAnsi="宋体" w:cs="宋体"/>
                <w:kern w:val="2"/>
                <w:sz w:val="28"/>
                <w:szCs w:val="28"/>
              </w:rPr>
              <w:t>）</w:t>
            </w:r>
          </w:p>
        </w:tc>
      </w:tr>
      <w:tr w14:paraId="4024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002EEC60">
            <w:pPr>
              <w:spacing w:line="340" w:lineRule="exact"/>
              <w:jc w:val="center"/>
              <w:rPr>
                <w:rFonts w:ascii="宋体" w:hAnsi="宋体"/>
                <w:kern w:val="2"/>
                <w:sz w:val="28"/>
                <w:szCs w:val="28"/>
              </w:rPr>
            </w:pPr>
            <w:r>
              <w:rPr>
                <w:rFonts w:ascii="宋体" w:hAnsi="宋体"/>
                <w:kern w:val="2"/>
                <w:sz w:val="28"/>
                <w:szCs w:val="28"/>
              </w:rPr>
              <w:t>8.1.1</w:t>
            </w:r>
          </w:p>
        </w:tc>
        <w:tc>
          <w:tcPr>
            <w:tcW w:w="2552" w:type="dxa"/>
            <w:gridSpan w:val="2"/>
            <w:vAlign w:val="center"/>
          </w:tcPr>
          <w:p w14:paraId="2E9A7A7D">
            <w:pPr>
              <w:spacing w:line="340" w:lineRule="exact"/>
              <w:jc w:val="center"/>
              <w:rPr>
                <w:rFonts w:ascii="宋体" w:hAns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履约保证金</w:t>
            </w:r>
          </w:p>
        </w:tc>
        <w:tc>
          <w:tcPr>
            <w:tcW w:w="5987" w:type="dxa"/>
            <w:vAlign w:val="center"/>
          </w:tcPr>
          <w:p w14:paraId="2DFFFB97">
            <w:pPr>
              <w:spacing w:line="340" w:lineRule="exact"/>
              <w:jc w:val="left"/>
              <w:rPr>
                <w:rFonts w:hint="eastAsia" w:ascii="宋体" w:hAns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（1）履约保证金形式:支票、汇票、本票、履约担保等法律法规允许的非现金形式</w:t>
            </w:r>
          </w:p>
          <w:p w14:paraId="514FC25A">
            <w:pPr>
              <w:spacing w:line="340" w:lineRule="exact"/>
              <w:jc w:val="left"/>
              <w:rPr>
                <w:rFonts w:hint="eastAsia" w:ascii="宋体" w:hAns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（2）金额：合同价的</w:t>
            </w:r>
            <w:r>
              <w:rPr>
                <w:rFonts w:hint="eastAsia" w:ascii="宋体" w:hAnsi="宋体"/>
                <w:color w:val="000000" w:themeColor="text1"/>
                <w:kern w:val="2"/>
                <w:sz w:val="28"/>
                <w:szCs w:val="28"/>
                <w:lang w:val="en-US" w:eastAsia="zh-CN"/>
                <w14:textFill>
                  <w14:solidFill>
                    <w14:schemeClr w14:val="tx1"/>
                  </w14:solidFill>
                </w14:textFill>
              </w:rPr>
              <w:t>6</w:t>
            </w:r>
            <w:r>
              <w:rPr>
                <w:rFonts w:hint="eastAsia" w:ascii="宋体" w:hAnsi="宋体"/>
                <w:color w:val="000000" w:themeColor="text1"/>
                <w:kern w:val="2"/>
                <w:sz w:val="28"/>
                <w:szCs w:val="28"/>
                <w14:textFill>
                  <w14:solidFill>
                    <w14:schemeClr w14:val="tx1"/>
                  </w14:solidFill>
                </w14:textFill>
              </w:rPr>
              <w:t>%</w:t>
            </w:r>
          </w:p>
          <w:p w14:paraId="34B567DD">
            <w:pPr>
              <w:spacing w:line="340" w:lineRule="exact"/>
              <w:jc w:val="left"/>
              <w:rPr>
                <w:rFonts w:ascii="宋体" w:hAns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（3）缴纳时间：在确定</w:t>
            </w:r>
            <w:r>
              <w:rPr>
                <w:rFonts w:hint="eastAsia" w:ascii="宋体" w:hAnsi="宋体"/>
                <w:color w:val="000000" w:themeColor="text1"/>
                <w:kern w:val="2"/>
                <w:sz w:val="28"/>
                <w:szCs w:val="28"/>
                <w:lang w:eastAsia="zh-CN"/>
                <w14:textFill>
                  <w14:solidFill>
                    <w14:schemeClr w14:val="tx1"/>
                  </w14:solidFill>
                </w14:textFill>
              </w:rPr>
              <w:t>中标</w:t>
            </w:r>
            <w:r>
              <w:rPr>
                <w:rFonts w:hint="eastAsia" w:ascii="宋体" w:hAnsi="宋体"/>
                <w:color w:val="000000" w:themeColor="text1"/>
                <w:kern w:val="2"/>
                <w:sz w:val="28"/>
                <w:szCs w:val="28"/>
                <w14:textFill>
                  <w14:solidFill>
                    <w14:schemeClr w14:val="tx1"/>
                  </w14:solidFill>
                </w14:textFill>
              </w:rPr>
              <w:t>供应商之后，签订采购合同前。</w:t>
            </w:r>
          </w:p>
        </w:tc>
      </w:tr>
      <w:tr w14:paraId="4A99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29CB011E">
            <w:pPr>
              <w:spacing w:line="360" w:lineRule="exact"/>
              <w:jc w:val="center"/>
              <w:rPr>
                <w:rFonts w:ascii="宋体" w:hAnsi="宋体"/>
                <w:kern w:val="2"/>
                <w:sz w:val="28"/>
                <w:szCs w:val="28"/>
              </w:rPr>
            </w:pPr>
            <w:r>
              <w:rPr>
                <w:rFonts w:ascii="宋体" w:hAnsi="宋体"/>
                <w:kern w:val="2"/>
                <w:sz w:val="28"/>
                <w:szCs w:val="28"/>
              </w:rPr>
              <w:t>8.2.1</w:t>
            </w:r>
          </w:p>
        </w:tc>
        <w:tc>
          <w:tcPr>
            <w:tcW w:w="2552" w:type="dxa"/>
            <w:gridSpan w:val="2"/>
            <w:vAlign w:val="center"/>
          </w:tcPr>
          <w:p w14:paraId="3B48D1AE">
            <w:pPr>
              <w:spacing w:line="360" w:lineRule="exact"/>
              <w:jc w:val="center"/>
              <w:rPr>
                <w:rFonts w:ascii="宋体" w:hAnsi="宋体" w:cs="宋体"/>
                <w:kern w:val="2"/>
                <w:sz w:val="28"/>
                <w:szCs w:val="28"/>
              </w:rPr>
            </w:pPr>
            <w:r>
              <w:rPr>
                <w:rFonts w:hint="eastAsia" w:ascii="宋体" w:hAnsi="宋体" w:cs="宋体"/>
                <w:kern w:val="2"/>
                <w:sz w:val="28"/>
                <w:szCs w:val="28"/>
              </w:rPr>
              <w:t>签订合同的</w:t>
            </w:r>
          </w:p>
          <w:p w14:paraId="0389BBF4">
            <w:pPr>
              <w:spacing w:line="360" w:lineRule="exact"/>
              <w:jc w:val="center"/>
              <w:rPr>
                <w:rFonts w:ascii="宋体" w:hAnsi="宋体" w:cs="宋体"/>
                <w:kern w:val="2"/>
                <w:sz w:val="28"/>
                <w:szCs w:val="28"/>
              </w:rPr>
            </w:pPr>
            <w:r>
              <w:rPr>
                <w:rFonts w:hint="eastAsia" w:ascii="宋体" w:hAnsi="宋体" w:cs="宋体"/>
                <w:kern w:val="2"/>
                <w:sz w:val="28"/>
                <w:szCs w:val="28"/>
              </w:rPr>
              <w:t>时间要求</w:t>
            </w:r>
          </w:p>
        </w:tc>
        <w:tc>
          <w:tcPr>
            <w:tcW w:w="5987" w:type="dxa"/>
            <w:vAlign w:val="center"/>
          </w:tcPr>
          <w:p w14:paraId="27890DAB">
            <w:pPr>
              <w:spacing w:line="360" w:lineRule="exact"/>
              <w:jc w:val="left"/>
              <w:rPr>
                <w:rFonts w:ascii="宋体"/>
                <w:kern w:val="2"/>
                <w:sz w:val="28"/>
                <w:szCs w:val="28"/>
              </w:rPr>
            </w:pPr>
            <w:r>
              <w:rPr>
                <w:rFonts w:hint="eastAsia" w:ascii="宋体" w:hAnsi="宋体"/>
                <w:kern w:val="2"/>
                <w:sz w:val="28"/>
                <w:szCs w:val="28"/>
              </w:rPr>
              <w:t>自中标通知书发出之日起</w:t>
            </w:r>
            <w:r>
              <w:rPr>
                <w:rFonts w:ascii="宋体" w:hAnsi="宋体"/>
                <w:kern w:val="2"/>
                <w:sz w:val="28"/>
                <w:szCs w:val="28"/>
                <w:u w:val="single"/>
              </w:rPr>
              <w:t xml:space="preserve"> </w:t>
            </w:r>
            <w:r>
              <w:rPr>
                <w:rFonts w:hint="eastAsia" w:ascii="宋体" w:hAnsi="宋体"/>
                <w:kern w:val="2"/>
                <w:sz w:val="28"/>
                <w:szCs w:val="28"/>
                <w:u w:val="single"/>
              </w:rPr>
              <w:t>15</w:t>
            </w:r>
            <w:r>
              <w:rPr>
                <w:rFonts w:ascii="宋体" w:hAnsi="宋体"/>
                <w:kern w:val="2"/>
                <w:sz w:val="28"/>
                <w:szCs w:val="28"/>
                <w:u w:val="single"/>
              </w:rPr>
              <w:t xml:space="preserve"> </w:t>
            </w:r>
            <w:r>
              <w:rPr>
                <w:rFonts w:hint="eastAsia" w:ascii="宋体" w:hAnsi="宋体"/>
                <w:kern w:val="2"/>
                <w:sz w:val="28"/>
                <w:szCs w:val="28"/>
              </w:rPr>
              <w:t>天内</w:t>
            </w:r>
          </w:p>
        </w:tc>
      </w:tr>
      <w:tr w14:paraId="0BCB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330FB2ED">
            <w:pPr>
              <w:spacing w:line="360" w:lineRule="exact"/>
              <w:jc w:val="center"/>
              <w:rPr>
                <w:rFonts w:ascii="宋体"/>
                <w:b/>
                <w:kern w:val="2"/>
                <w:sz w:val="28"/>
                <w:szCs w:val="28"/>
              </w:rPr>
            </w:pPr>
            <w:r>
              <w:rPr>
                <w:rFonts w:hint="eastAsia" w:ascii="宋体" w:hAnsi="宋体"/>
                <w:b/>
                <w:kern w:val="2"/>
                <w:sz w:val="28"/>
                <w:szCs w:val="28"/>
              </w:rPr>
              <w:t>9</w:t>
            </w:r>
          </w:p>
        </w:tc>
        <w:tc>
          <w:tcPr>
            <w:tcW w:w="8539" w:type="dxa"/>
            <w:gridSpan w:val="3"/>
            <w:vAlign w:val="center"/>
          </w:tcPr>
          <w:p w14:paraId="7F36B3DF">
            <w:pPr>
              <w:spacing w:line="360" w:lineRule="exact"/>
              <w:jc w:val="center"/>
              <w:rPr>
                <w:rFonts w:ascii="宋体"/>
                <w:b/>
                <w:kern w:val="2"/>
                <w:sz w:val="28"/>
                <w:szCs w:val="28"/>
              </w:rPr>
            </w:pPr>
            <w:r>
              <w:rPr>
                <w:rFonts w:hint="eastAsia" w:ascii="宋体" w:hAnsi="宋体"/>
                <w:b/>
                <w:kern w:val="2"/>
                <w:sz w:val="28"/>
                <w:szCs w:val="28"/>
              </w:rPr>
              <w:t>需要补充的其他内容</w:t>
            </w:r>
          </w:p>
        </w:tc>
      </w:tr>
      <w:tr w14:paraId="3D81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0A7B3217">
            <w:pPr>
              <w:spacing w:line="360" w:lineRule="exact"/>
              <w:jc w:val="center"/>
              <w:rPr>
                <w:rFonts w:ascii="宋体" w:hAnsi="宋体"/>
                <w:b/>
                <w:kern w:val="2"/>
                <w:sz w:val="28"/>
                <w:szCs w:val="28"/>
              </w:rPr>
            </w:pPr>
            <w:r>
              <w:rPr>
                <w:rFonts w:hint="eastAsia" w:ascii="宋体" w:hAnsi="宋体"/>
                <w:b/>
                <w:kern w:val="2"/>
                <w:sz w:val="28"/>
                <w:szCs w:val="28"/>
              </w:rPr>
              <w:t>9</w:t>
            </w:r>
            <w:r>
              <w:rPr>
                <w:rFonts w:ascii="宋体" w:hAnsi="宋体"/>
                <w:b/>
                <w:kern w:val="2"/>
                <w:sz w:val="28"/>
                <w:szCs w:val="28"/>
              </w:rPr>
              <w:t>.1</w:t>
            </w:r>
          </w:p>
        </w:tc>
        <w:tc>
          <w:tcPr>
            <w:tcW w:w="2521" w:type="dxa"/>
            <w:vAlign w:val="center"/>
          </w:tcPr>
          <w:p w14:paraId="6052ADA1">
            <w:pPr>
              <w:spacing w:line="360" w:lineRule="exact"/>
              <w:jc w:val="center"/>
              <w:rPr>
                <w:rFonts w:ascii="宋体"/>
                <w:kern w:val="2"/>
                <w:sz w:val="28"/>
                <w:szCs w:val="28"/>
              </w:rPr>
            </w:pPr>
            <w:r>
              <w:rPr>
                <w:rFonts w:hint="eastAsia" w:ascii="宋体" w:hAnsi="宋体"/>
                <w:kern w:val="2"/>
                <w:sz w:val="28"/>
                <w:szCs w:val="28"/>
              </w:rPr>
              <w:t>质疑和投诉</w:t>
            </w:r>
          </w:p>
        </w:tc>
        <w:tc>
          <w:tcPr>
            <w:tcW w:w="6018" w:type="dxa"/>
            <w:gridSpan w:val="2"/>
            <w:vAlign w:val="center"/>
          </w:tcPr>
          <w:p w14:paraId="32F3B129">
            <w:pPr>
              <w:spacing w:line="360" w:lineRule="exact"/>
              <w:jc w:val="left"/>
              <w:rPr>
                <w:rFonts w:ascii="宋体"/>
                <w:kern w:val="2"/>
                <w:sz w:val="28"/>
                <w:szCs w:val="28"/>
              </w:rPr>
            </w:pPr>
            <w:r>
              <w:rPr>
                <w:rFonts w:hint="eastAsia" w:ascii="宋体" w:hAnsi="宋体"/>
                <w:kern w:val="2"/>
                <w:sz w:val="28"/>
                <w:szCs w:val="28"/>
              </w:rPr>
              <w:t>按照《政府采购质疑和投诉办法》（财政部第</w:t>
            </w:r>
            <w:r>
              <w:rPr>
                <w:rFonts w:ascii="宋体" w:hAnsi="宋体"/>
                <w:kern w:val="2"/>
                <w:sz w:val="28"/>
                <w:szCs w:val="28"/>
              </w:rPr>
              <w:t>94</w:t>
            </w:r>
            <w:r>
              <w:rPr>
                <w:rFonts w:hint="eastAsia" w:ascii="宋体" w:hAnsi="宋体"/>
                <w:kern w:val="2"/>
                <w:sz w:val="28"/>
                <w:szCs w:val="28"/>
              </w:rPr>
              <w:t>号令）处理</w:t>
            </w:r>
          </w:p>
        </w:tc>
      </w:tr>
      <w:tr w14:paraId="0F48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218598C9">
            <w:pPr>
              <w:spacing w:line="360" w:lineRule="exact"/>
              <w:jc w:val="center"/>
              <w:rPr>
                <w:rFonts w:ascii="宋体" w:hAnsi="宋体"/>
                <w:b/>
                <w:kern w:val="2"/>
                <w:sz w:val="28"/>
                <w:szCs w:val="28"/>
              </w:rPr>
            </w:pPr>
            <w:r>
              <w:rPr>
                <w:rFonts w:hint="eastAsia" w:ascii="宋体" w:hAnsi="宋体"/>
                <w:b/>
                <w:kern w:val="2"/>
                <w:sz w:val="28"/>
                <w:szCs w:val="28"/>
              </w:rPr>
              <w:t>9</w:t>
            </w:r>
            <w:r>
              <w:rPr>
                <w:rFonts w:ascii="宋体" w:hAnsi="宋体"/>
                <w:b/>
                <w:kern w:val="2"/>
                <w:sz w:val="28"/>
                <w:szCs w:val="28"/>
              </w:rPr>
              <w:t>.2</w:t>
            </w:r>
          </w:p>
        </w:tc>
        <w:tc>
          <w:tcPr>
            <w:tcW w:w="2521" w:type="dxa"/>
            <w:vAlign w:val="center"/>
          </w:tcPr>
          <w:p w14:paraId="4B3F1A0C">
            <w:pPr>
              <w:spacing w:line="360" w:lineRule="exact"/>
              <w:jc w:val="center"/>
              <w:rPr>
                <w:rFonts w:ascii="宋体"/>
                <w:kern w:val="2"/>
                <w:sz w:val="28"/>
                <w:szCs w:val="28"/>
              </w:rPr>
            </w:pPr>
            <w:r>
              <w:rPr>
                <w:rFonts w:hint="eastAsia" w:ascii="宋体" w:hAnsi="宋体"/>
                <w:kern w:val="2"/>
                <w:sz w:val="28"/>
                <w:szCs w:val="28"/>
              </w:rPr>
              <w:t>招标文件的解释</w:t>
            </w:r>
          </w:p>
        </w:tc>
        <w:tc>
          <w:tcPr>
            <w:tcW w:w="6018" w:type="dxa"/>
            <w:gridSpan w:val="2"/>
            <w:vAlign w:val="center"/>
          </w:tcPr>
          <w:p w14:paraId="11C1BD62">
            <w:pPr>
              <w:spacing w:line="360" w:lineRule="exact"/>
              <w:rPr>
                <w:rFonts w:ascii="宋体"/>
                <w:kern w:val="2"/>
                <w:sz w:val="28"/>
                <w:szCs w:val="28"/>
              </w:rPr>
            </w:pPr>
            <w:r>
              <w:rPr>
                <w:rFonts w:hint="eastAsia" w:ascii="宋体" w:hAnsi="宋体"/>
                <w:kern w:val="2"/>
                <w:sz w:val="28"/>
                <w:szCs w:val="28"/>
              </w:rPr>
              <w:t>由招标人负责</w:t>
            </w:r>
          </w:p>
        </w:tc>
      </w:tr>
      <w:tr w14:paraId="3667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3BC32324">
            <w:pPr>
              <w:spacing w:line="360" w:lineRule="exact"/>
              <w:jc w:val="center"/>
              <w:rPr>
                <w:rFonts w:ascii="宋体" w:hAnsi="宋体"/>
                <w:b/>
                <w:color w:val="000000"/>
                <w:kern w:val="2"/>
                <w:sz w:val="28"/>
                <w:szCs w:val="28"/>
              </w:rPr>
            </w:pPr>
            <w:r>
              <w:rPr>
                <w:rFonts w:hint="eastAsia" w:ascii="宋体" w:hAnsi="宋体"/>
                <w:b/>
                <w:color w:val="000000"/>
                <w:kern w:val="2"/>
                <w:sz w:val="28"/>
                <w:szCs w:val="28"/>
              </w:rPr>
              <w:t>9.3</w:t>
            </w:r>
          </w:p>
        </w:tc>
        <w:tc>
          <w:tcPr>
            <w:tcW w:w="2521" w:type="dxa"/>
            <w:vAlign w:val="center"/>
          </w:tcPr>
          <w:p w14:paraId="11F4F5F6">
            <w:pPr>
              <w:spacing w:line="360" w:lineRule="exact"/>
              <w:jc w:val="center"/>
              <w:rPr>
                <w:rFonts w:ascii="宋体" w:hAnsi="宋体"/>
                <w:color w:val="000000"/>
                <w:kern w:val="2"/>
                <w:sz w:val="28"/>
                <w:szCs w:val="28"/>
              </w:rPr>
            </w:pPr>
            <w:r>
              <w:rPr>
                <w:rFonts w:hint="eastAsia" w:ascii="宋体" w:hAnsi="宋体"/>
                <w:color w:val="000000"/>
                <w:kern w:val="2"/>
                <w:sz w:val="28"/>
                <w:szCs w:val="28"/>
              </w:rPr>
              <w:t>落实政府采购政策</w:t>
            </w:r>
          </w:p>
        </w:tc>
        <w:tc>
          <w:tcPr>
            <w:tcW w:w="6018" w:type="dxa"/>
            <w:gridSpan w:val="2"/>
          </w:tcPr>
          <w:p w14:paraId="487DDA6D">
            <w:pPr>
              <w:pStyle w:val="31"/>
              <w:spacing w:line="380" w:lineRule="exact"/>
              <w:textAlignment w:val="center"/>
              <w:rPr>
                <w:rFonts w:ascii="宋体" w:hAnsi="宋体"/>
                <w:color w:val="FF0000"/>
                <w:kern w:val="2"/>
                <w:sz w:val="28"/>
                <w:szCs w:val="28"/>
              </w:rPr>
            </w:pPr>
            <w:r>
              <w:rPr>
                <w:rFonts w:hint="eastAsia" w:ascii="宋体" w:hAnsi="宋体"/>
                <w:color w:val="auto"/>
                <w:kern w:val="2"/>
                <w:sz w:val="28"/>
                <w:szCs w:val="28"/>
              </w:rPr>
              <w:t>根据《政府采购促进中小企业发展管理办法》（财库【2020】46号）规定，对小型和微型生产企业生产的产品或承接的服务价格给予10%的扣除，扣除后的价格参与评审。供应商应当提供《中小企业声明函》（格式见附件）</w:t>
            </w:r>
          </w:p>
        </w:tc>
      </w:tr>
      <w:tr w14:paraId="6CBF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5E1C9C80">
            <w:pPr>
              <w:spacing w:line="360" w:lineRule="exact"/>
              <w:jc w:val="center"/>
              <w:rPr>
                <w:rFonts w:ascii="宋体" w:hAnsi="宋体"/>
                <w:b/>
                <w:color w:val="000000"/>
                <w:kern w:val="2"/>
                <w:sz w:val="28"/>
                <w:szCs w:val="28"/>
              </w:rPr>
            </w:pPr>
            <w:r>
              <w:rPr>
                <w:rFonts w:hint="eastAsia" w:ascii="宋体" w:hAnsi="宋体"/>
                <w:b/>
                <w:color w:val="000000"/>
                <w:kern w:val="2"/>
                <w:sz w:val="28"/>
                <w:szCs w:val="28"/>
              </w:rPr>
              <w:t>9.4</w:t>
            </w:r>
          </w:p>
        </w:tc>
        <w:tc>
          <w:tcPr>
            <w:tcW w:w="2521" w:type="dxa"/>
            <w:vAlign w:val="center"/>
          </w:tcPr>
          <w:p w14:paraId="28E21652">
            <w:pPr>
              <w:spacing w:line="360" w:lineRule="exact"/>
              <w:jc w:val="center"/>
              <w:rPr>
                <w:rFonts w:ascii="宋体" w:hAnsi="宋体"/>
                <w:color w:val="000000"/>
                <w:kern w:val="2"/>
                <w:sz w:val="28"/>
                <w:szCs w:val="28"/>
              </w:rPr>
            </w:pPr>
            <w:r>
              <w:rPr>
                <w:rFonts w:hint="eastAsia" w:ascii="宋体" w:hAnsi="宋体"/>
                <w:color w:val="000000"/>
                <w:kern w:val="2"/>
                <w:sz w:val="28"/>
                <w:szCs w:val="28"/>
              </w:rPr>
              <w:t>投标报价</w:t>
            </w:r>
          </w:p>
        </w:tc>
        <w:tc>
          <w:tcPr>
            <w:tcW w:w="6018" w:type="dxa"/>
            <w:gridSpan w:val="2"/>
            <w:vAlign w:val="center"/>
          </w:tcPr>
          <w:p w14:paraId="100C4953">
            <w:pPr>
              <w:spacing w:line="360" w:lineRule="exact"/>
              <w:jc w:val="left"/>
              <w:rPr>
                <w:rFonts w:ascii="宋体" w:hAnsi="宋体"/>
                <w:color w:val="000000" w:themeColor="text1"/>
                <w:kern w:val="2"/>
                <w:sz w:val="28"/>
                <w:szCs w:val="28"/>
                <w14:textFill>
                  <w14:solidFill>
                    <w14:schemeClr w14:val="tx1"/>
                  </w14:solidFill>
                </w14:textFill>
              </w:rPr>
            </w:pPr>
            <w:r>
              <w:rPr>
                <w:rFonts w:hint="eastAsia" w:ascii="宋体" w:hAnsi="宋体"/>
                <w:color w:val="000000"/>
                <w:kern w:val="2"/>
                <w:sz w:val="28"/>
                <w:szCs w:val="28"/>
              </w:rPr>
              <w:t>1.</w:t>
            </w:r>
            <w:r>
              <w:rPr>
                <w:rFonts w:ascii="宋体" w:hAnsi="宋体"/>
                <w:color w:val="000000"/>
                <w:kern w:val="2"/>
                <w:sz w:val="28"/>
                <w:szCs w:val="28"/>
              </w:rPr>
              <w:t>供应商应仔细阅读和充分理解招标文件的采购需求和合同主要条款，根据自身实际情况并综</w:t>
            </w:r>
            <w:r>
              <w:rPr>
                <w:rFonts w:ascii="宋体" w:hAnsi="宋体"/>
                <w:color w:val="000000" w:themeColor="text1"/>
                <w:kern w:val="2"/>
                <w:sz w:val="28"/>
                <w:szCs w:val="28"/>
                <w14:textFill>
                  <w14:solidFill>
                    <w14:schemeClr w14:val="tx1"/>
                  </w14:solidFill>
                </w14:textFill>
              </w:rPr>
              <w:t>合考虑合同履行过程中的各类风险</w:t>
            </w:r>
            <w:r>
              <w:rPr>
                <w:rFonts w:hint="eastAsia" w:ascii="宋体" w:hAnsi="宋体"/>
                <w:color w:val="000000" w:themeColor="text1"/>
                <w:kern w:val="2"/>
                <w:sz w:val="28"/>
                <w:szCs w:val="28"/>
                <w14:textFill>
                  <w14:solidFill>
                    <w14:schemeClr w14:val="tx1"/>
                  </w14:solidFill>
                </w14:textFill>
              </w:rPr>
              <w:t>，</w:t>
            </w:r>
            <w:r>
              <w:rPr>
                <w:rFonts w:ascii="宋体" w:hAnsi="宋体"/>
                <w:color w:val="000000" w:themeColor="text1"/>
                <w:kern w:val="2"/>
                <w:sz w:val="28"/>
                <w:szCs w:val="28"/>
                <w14:textFill>
                  <w14:solidFill>
                    <w14:schemeClr w14:val="tx1"/>
                  </w14:solidFill>
                </w14:textFill>
              </w:rPr>
              <w:t>理性报价。</w:t>
            </w:r>
          </w:p>
          <w:p w14:paraId="1ED92A3E">
            <w:pPr>
              <w:spacing w:line="360" w:lineRule="exact"/>
              <w:jc w:val="left"/>
              <w:rPr>
                <w:rFonts w:ascii="宋体" w:hAnsi="宋体"/>
                <w:color w:val="000000" w:themeColor="text1"/>
                <w:kern w:val="2"/>
                <w:sz w:val="28"/>
                <w:szCs w:val="28"/>
                <w14:textFill>
                  <w14:solidFill>
                    <w14:schemeClr w14:val="tx1"/>
                  </w14:solidFill>
                </w14:textFill>
              </w:rPr>
            </w:pPr>
            <w:r>
              <w:rPr>
                <w:rFonts w:hint="eastAsia" w:ascii="宋体" w:hAnsi="宋体"/>
                <w:color w:val="000000" w:themeColor="text1"/>
                <w:kern w:val="2"/>
                <w:sz w:val="28"/>
                <w:szCs w:val="28"/>
                <w14:textFill>
                  <w14:solidFill>
                    <w14:schemeClr w14:val="tx1"/>
                  </w14:solidFill>
                </w14:textFill>
              </w:rPr>
              <w:t>2.</w:t>
            </w:r>
            <w:r>
              <w:rPr>
                <w:rFonts w:hint="eastAsia"/>
              </w:rPr>
              <w:t xml:space="preserve"> </w:t>
            </w:r>
            <w:r>
              <w:rPr>
                <w:rFonts w:hint="eastAsia" w:ascii="宋体" w:hAnsi="宋体"/>
                <w:color w:val="000000" w:themeColor="text1"/>
                <w:kern w:val="2"/>
                <w:sz w:val="28"/>
                <w:szCs w:val="28"/>
                <w14:textFill>
                  <w14:solidFill>
                    <w14:schemeClr w14:val="tx1"/>
                  </w14:solidFill>
                </w14:textFill>
              </w:rPr>
              <w:t>如乙方服务所在地最低人工工资标准以及社保缴纳基、系数标准发生调整，因上述调整所增加的费用由甲方承担，并自政策文件规定的执行时间起进行调整。</w:t>
            </w:r>
          </w:p>
          <w:p w14:paraId="780393DA">
            <w:pPr>
              <w:spacing w:line="360" w:lineRule="exact"/>
              <w:jc w:val="left"/>
              <w:rPr>
                <w:rFonts w:asciiTheme="minorEastAsia" w:hAnsiTheme="minorEastAsia" w:eastAsiaTheme="minorEastAsia"/>
                <w:b/>
                <w:color w:val="FF0000"/>
                <w:kern w:val="2"/>
              </w:rPr>
            </w:pPr>
            <w:r>
              <w:rPr>
                <w:rFonts w:hint="eastAsia" w:ascii="宋体" w:hAnsi="宋体"/>
                <w:color w:val="000000"/>
                <w:kern w:val="2"/>
                <w:sz w:val="28"/>
                <w:szCs w:val="28"/>
              </w:rPr>
              <w:t>3.异常的低价可能会导致投标无效。</w:t>
            </w:r>
          </w:p>
        </w:tc>
      </w:tr>
    </w:tbl>
    <w:p w14:paraId="234D3711">
      <w:pPr>
        <w:adjustRightInd w:val="0"/>
        <w:snapToGrid w:val="0"/>
        <w:spacing w:line="490" w:lineRule="exact"/>
        <w:rPr>
          <w:rFonts w:ascii="黑体" w:hAnsi="黑体" w:eastAsia="黑体"/>
          <w:sz w:val="32"/>
          <w:szCs w:val="32"/>
        </w:rPr>
      </w:pPr>
      <w:bookmarkStart w:id="54" w:name="_Toc426469871"/>
      <w:bookmarkStart w:id="55" w:name="_Toc367784995"/>
      <w:r>
        <w:rPr>
          <w:rFonts w:ascii="黑体" w:hAnsi="黑体" w:eastAsia="黑体"/>
          <w:sz w:val="32"/>
          <w:szCs w:val="32"/>
        </w:rPr>
        <w:t>1.</w:t>
      </w:r>
      <w:r>
        <w:rPr>
          <w:rFonts w:hint="eastAsia" w:ascii="黑体" w:hAnsi="黑体" w:eastAsia="黑体"/>
          <w:sz w:val="32"/>
          <w:szCs w:val="32"/>
        </w:rPr>
        <w:t>总则</w:t>
      </w:r>
      <w:bookmarkEnd w:id="54"/>
      <w:bookmarkEnd w:id="55"/>
    </w:p>
    <w:p w14:paraId="2D9407BD">
      <w:pPr>
        <w:adjustRightInd w:val="0"/>
        <w:snapToGrid w:val="0"/>
        <w:spacing w:line="490" w:lineRule="exact"/>
        <w:rPr>
          <w:rFonts w:ascii="楷体" w:hAnsi="楷体" w:eastAsia="楷体"/>
          <w:b/>
          <w:sz w:val="28"/>
          <w:szCs w:val="28"/>
        </w:rPr>
      </w:pPr>
      <w:bookmarkStart w:id="56" w:name="_Toc179632547"/>
      <w:bookmarkStart w:id="57" w:name="_Toc152042306"/>
      <w:bookmarkStart w:id="58" w:name="_Toc246996919"/>
      <w:bookmarkStart w:id="59" w:name="_Toc343525506"/>
      <w:bookmarkStart w:id="60" w:name="_Toc426469872"/>
      <w:bookmarkStart w:id="61" w:name="_Toc383438593"/>
      <w:bookmarkStart w:id="62" w:name="_Toc246996176"/>
      <w:bookmarkStart w:id="63" w:name="_Toc144974498"/>
      <w:bookmarkStart w:id="64" w:name="_Toc152045530"/>
      <w:bookmarkStart w:id="65" w:name="_Toc247085690"/>
      <w:bookmarkStart w:id="66" w:name="_Toc367784996"/>
      <w:r>
        <w:rPr>
          <w:rFonts w:ascii="楷体" w:hAnsi="楷体" w:eastAsia="楷体"/>
          <w:b/>
          <w:sz w:val="28"/>
          <w:szCs w:val="28"/>
        </w:rPr>
        <w:t xml:space="preserve">1.1 </w:t>
      </w:r>
      <w:r>
        <w:rPr>
          <w:rFonts w:hint="eastAsia" w:ascii="楷体" w:hAnsi="楷体" w:eastAsia="楷体" w:cs="宋体"/>
          <w:b/>
          <w:sz w:val="28"/>
          <w:szCs w:val="28"/>
        </w:rPr>
        <w:t>项目概况</w:t>
      </w:r>
      <w:bookmarkEnd w:id="56"/>
      <w:bookmarkEnd w:id="57"/>
      <w:bookmarkEnd w:id="58"/>
      <w:bookmarkEnd w:id="59"/>
      <w:bookmarkEnd w:id="60"/>
      <w:bookmarkEnd w:id="61"/>
      <w:bookmarkEnd w:id="62"/>
      <w:bookmarkEnd w:id="63"/>
      <w:bookmarkEnd w:id="64"/>
      <w:bookmarkEnd w:id="65"/>
    </w:p>
    <w:p w14:paraId="3B22DA2D">
      <w:pPr>
        <w:adjustRightInd w:val="0"/>
        <w:snapToGrid w:val="0"/>
        <w:spacing w:line="490" w:lineRule="exact"/>
        <w:ind w:firstLine="560" w:firstLineChars="200"/>
        <w:rPr>
          <w:rFonts w:ascii="宋体"/>
          <w:sz w:val="28"/>
          <w:szCs w:val="28"/>
        </w:rPr>
      </w:pPr>
      <w:r>
        <w:rPr>
          <w:rFonts w:ascii="宋体" w:hAnsi="宋体"/>
          <w:sz w:val="28"/>
          <w:szCs w:val="28"/>
        </w:rPr>
        <w:t>1.1.1</w:t>
      </w:r>
      <w:r>
        <w:rPr>
          <w:rFonts w:hint="eastAsia" w:ascii="宋体" w:hAnsi="宋体" w:cs="宋体"/>
          <w:sz w:val="28"/>
          <w:szCs w:val="28"/>
        </w:rPr>
        <w:t>根据《中华人民共和国政府采购法》、《中华人民共和国政府采购法实施条例》等有关法律、法规和规章的规定，本采购项目已具备采购条件，现对本项目进行公开招标。</w:t>
      </w:r>
    </w:p>
    <w:p w14:paraId="0AF6B688">
      <w:pPr>
        <w:adjustRightInd w:val="0"/>
        <w:snapToGrid w:val="0"/>
        <w:spacing w:line="490" w:lineRule="exact"/>
        <w:ind w:firstLine="560" w:firstLineChars="200"/>
        <w:rPr>
          <w:rFonts w:ascii="宋体"/>
          <w:sz w:val="28"/>
          <w:szCs w:val="28"/>
        </w:rPr>
      </w:pPr>
      <w:r>
        <w:rPr>
          <w:rFonts w:ascii="宋体" w:hAnsi="宋体"/>
          <w:sz w:val="28"/>
          <w:szCs w:val="28"/>
        </w:rPr>
        <w:t xml:space="preserve">1.1.2 </w:t>
      </w:r>
      <w:r>
        <w:rPr>
          <w:rFonts w:hint="eastAsia" w:ascii="宋体" w:hAnsi="宋体" w:cs="宋体"/>
          <w:sz w:val="28"/>
          <w:szCs w:val="28"/>
        </w:rPr>
        <w:t>招标人：见供应商须知前附表。</w:t>
      </w:r>
    </w:p>
    <w:p w14:paraId="2C145785">
      <w:pPr>
        <w:adjustRightInd w:val="0"/>
        <w:snapToGrid w:val="0"/>
        <w:spacing w:line="490" w:lineRule="exact"/>
        <w:ind w:firstLine="560" w:firstLineChars="200"/>
        <w:rPr>
          <w:rFonts w:ascii="宋体"/>
          <w:sz w:val="28"/>
          <w:szCs w:val="28"/>
        </w:rPr>
      </w:pPr>
      <w:r>
        <w:rPr>
          <w:rFonts w:ascii="宋体" w:hAnsi="宋体"/>
          <w:sz w:val="28"/>
          <w:szCs w:val="28"/>
        </w:rPr>
        <w:t xml:space="preserve">1.1.3 </w:t>
      </w:r>
      <w:r>
        <w:rPr>
          <w:rFonts w:hint="eastAsia" w:ascii="宋体" w:hAnsi="宋体" w:cs="宋体"/>
          <w:sz w:val="28"/>
          <w:szCs w:val="28"/>
        </w:rPr>
        <w:t>采购代理机构：见供应商须知前附表。</w:t>
      </w:r>
    </w:p>
    <w:p w14:paraId="61ED7026">
      <w:pPr>
        <w:adjustRightInd w:val="0"/>
        <w:snapToGrid w:val="0"/>
        <w:spacing w:line="490" w:lineRule="exact"/>
        <w:ind w:firstLine="560" w:firstLineChars="200"/>
        <w:rPr>
          <w:rFonts w:ascii="宋体"/>
          <w:sz w:val="28"/>
          <w:szCs w:val="28"/>
        </w:rPr>
      </w:pPr>
      <w:r>
        <w:rPr>
          <w:rFonts w:ascii="宋体" w:hAnsi="宋体"/>
          <w:sz w:val="28"/>
          <w:szCs w:val="28"/>
        </w:rPr>
        <w:t xml:space="preserve">1.1.4 </w:t>
      </w:r>
      <w:r>
        <w:rPr>
          <w:rFonts w:hint="eastAsia" w:ascii="宋体" w:hAnsi="宋体" w:cs="宋体"/>
          <w:sz w:val="28"/>
          <w:szCs w:val="28"/>
        </w:rPr>
        <w:t>项目名称及项目编号：见供应商须知前附表。</w:t>
      </w:r>
    </w:p>
    <w:p w14:paraId="3DB4C3FC">
      <w:pPr>
        <w:adjustRightInd w:val="0"/>
        <w:snapToGrid w:val="0"/>
        <w:spacing w:line="490" w:lineRule="exact"/>
        <w:rPr>
          <w:rFonts w:ascii="楷体" w:hAnsi="楷体" w:eastAsia="楷体"/>
          <w:b/>
          <w:sz w:val="28"/>
          <w:szCs w:val="28"/>
        </w:rPr>
      </w:pPr>
      <w:bookmarkStart w:id="67" w:name="_Toc426469873"/>
      <w:bookmarkStart w:id="68" w:name="_Toc343525507"/>
      <w:bookmarkStart w:id="69" w:name="_Toc179632548"/>
      <w:bookmarkStart w:id="70" w:name="_Toc246996177"/>
      <w:bookmarkStart w:id="71" w:name="_Toc144974499"/>
      <w:bookmarkStart w:id="72" w:name="_Toc152045531"/>
      <w:bookmarkStart w:id="73" w:name="_Toc246996920"/>
      <w:bookmarkStart w:id="74" w:name="_Toc383438594"/>
      <w:bookmarkStart w:id="75" w:name="_Toc152042307"/>
      <w:bookmarkStart w:id="76" w:name="_Toc247085691"/>
      <w:r>
        <w:rPr>
          <w:rFonts w:ascii="楷体" w:hAnsi="楷体" w:eastAsia="楷体"/>
          <w:b/>
          <w:sz w:val="28"/>
          <w:szCs w:val="28"/>
        </w:rPr>
        <w:t>1.2</w:t>
      </w:r>
      <w:bookmarkEnd w:id="67"/>
      <w:bookmarkEnd w:id="68"/>
      <w:bookmarkEnd w:id="69"/>
      <w:bookmarkEnd w:id="70"/>
      <w:bookmarkEnd w:id="71"/>
      <w:bookmarkEnd w:id="72"/>
      <w:bookmarkEnd w:id="73"/>
      <w:bookmarkEnd w:id="74"/>
      <w:bookmarkEnd w:id="75"/>
      <w:bookmarkEnd w:id="76"/>
      <w:r>
        <w:rPr>
          <w:rFonts w:hint="eastAsia" w:ascii="楷体" w:hAnsi="楷体" w:eastAsia="楷体"/>
          <w:b/>
          <w:sz w:val="28"/>
          <w:szCs w:val="28"/>
        </w:rPr>
        <w:t>付款方式</w:t>
      </w:r>
    </w:p>
    <w:p w14:paraId="65C88271">
      <w:pPr>
        <w:adjustRightInd w:val="0"/>
        <w:snapToGrid w:val="0"/>
        <w:spacing w:line="490" w:lineRule="exact"/>
        <w:ind w:firstLine="560" w:firstLineChars="200"/>
        <w:rPr>
          <w:rFonts w:ascii="宋体"/>
          <w:sz w:val="28"/>
          <w:szCs w:val="28"/>
        </w:rPr>
      </w:pPr>
      <w:r>
        <w:rPr>
          <w:rFonts w:ascii="宋体" w:hAnsi="宋体"/>
          <w:sz w:val="28"/>
          <w:szCs w:val="28"/>
        </w:rPr>
        <w:t>1.2.</w:t>
      </w:r>
      <w:r>
        <w:rPr>
          <w:rFonts w:hint="eastAsia" w:ascii="宋体" w:hAnsi="宋体"/>
          <w:sz w:val="28"/>
          <w:szCs w:val="28"/>
        </w:rPr>
        <w:t>1</w:t>
      </w:r>
      <w:r>
        <w:rPr>
          <w:rFonts w:hint="eastAsia" w:ascii="宋体" w:hAnsi="宋体" w:cs="宋体"/>
          <w:sz w:val="28"/>
          <w:szCs w:val="28"/>
        </w:rPr>
        <w:t>付款方式：见供应商须知前附表。</w:t>
      </w:r>
    </w:p>
    <w:p w14:paraId="4C7FD1B0">
      <w:pPr>
        <w:adjustRightInd w:val="0"/>
        <w:snapToGrid w:val="0"/>
        <w:spacing w:line="490" w:lineRule="exact"/>
        <w:rPr>
          <w:rFonts w:ascii="楷体" w:hAnsi="楷体" w:eastAsia="楷体"/>
          <w:b/>
          <w:sz w:val="28"/>
          <w:szCs w:val="28"/>
        </w:rPr>
      </w:pPr>
      <w:bookmarkStart w:id="77" w:name="_Toc144974500"/>
      <w:bookmarkStart w:id="78" w:name="_Toc343525508"/>
      <w:bookmarkStart w:id="79" w:name="_Toc246996178"/>
      <w:bookmarkStart w:id="80" w:name="_Toc152042308"/>
      <w:bookmarkStart w:id="81" w:name="_Toc179632549"/>
      <w:bookmarkStart w:id="82" w:name="_Toc246996921"/>
      <w:bookmarkStart w:id="83" w:name="_Toc383438595"/>
      <w:bookmarkStart w:id="84" w:name="_Toc247085692"/>
      <w:bookmarkStart w:id="85" w:name="_Toc152045532"/>
      <w:bookmarkStart w:id="86" w:name="_Toc426469874"/>
      <w:r>
        <w:rPr>
          <w:rFonts w:ascii="楷体" w:hAnsi="楷体" w:eastAsia="楷体"/>
          <w:b/>
          <w:sz w:val="28"/>
          <w:szCs w:val="28"/>
        </w:rPr>
        <w:t xml:space="preserve">1.3 </w:t>
      </w:r>
      <w:bookmarkEnd w:id="77"/>
      <w:bookmarkEnd w:id="78"/>
      <w:bookmarkEnd w:id="79"/>
      <w:bookmarkEnd w:id="80"/>
      <w:bookmarkEnd w:id="81"/>
      <w:bookmarkEnd w:id="82"/>
      <w:bookmarkEnd w:id="83"/>
      <w:bookmarkEnd w:id="84"/>
      <w:bookmarkEnd w:id="85"/>
      <w:r>
        <w:rPr>
          <w:rFonts w:hint="eastAsia" w:ascii="楷体" w:hAnsi="楷体" w:eastAsia="楷体"/>
          <w:b/>
          <w:sz w:val="28"/>
          <w:szCs w:val="28"/>
        </w:rPr>
        <w:t>采购范围</w:t>
      </w:r>
      <w:bookmarkEnd w:id="86"/>
      <w:r>
        <w:rPr>
          <w:rFonts w:hint="eastAsia" w:ascii="楷体" w:hAnsi="楷体" w:eastAsia="楷体"/>
          <w:b/>
          <w:sz w:val="28"/>
          <w:szCs w:val="28"/>
        </w:rPr>
        <w:t>与合同履行期限</w:t>
      </w:r>
    </w:p>
    <w:p w14:paraId="6119977E">
      <w:pPr>
        <w:adjustRightInd w:val="0"/>
        <w:snapToGrid w:val="0"/>
        <w:spacing w:line="490" w:lineRule="exact"/>
        <w:ind w:firstLine="560" w:firstLineChars="200"/>
        <w:rPr>
          <w:rFonts w:ascii="宋体"/>
          <w:sz w:val="28"/>
          <w:szCs w:val="28"/>
        </w:rPr>
      </w:pPr>
      <w:r>
        <w:rPr>
          <w:rFonts w:ascii="宋体" w:hAnsi="宋体"/>
          <w:sz w:val="28"/>
          <w:szCs w:val="28"/>
        </w:rPr>
        <w:t xml:space="preserve">1.3.1 </w:t>
      </w:r>
      <w:r>
        <w:rPr>
          <w:rFonts w:hint="eastAsia" w:ascii="宋体" w:hAnsi="宋体" w:cs="宋体"/>
          <w:sz w:val="28"/>
          <w:szCs w:val="28"/>
        </w:rPr>
        <w:t>采购范围：见供应商须知前附表。</w:t>
      </w:r>
    </w:p>
    <w:p w14:paraId="19622CC3">
      <w:pPr>
        <w:adjustRightInd w:val="0"/>
        <w:snapToGrid w:val="0"/>
        <w:spacing w:line="490" w:lineRule="exact"/>
        <w:ind w:firstLine="560" w:firstLineChars="200"/>
        <w:rPr>
          <w:rFonts w:ascii="宋体"/>
          <w:sz w:val="28"/>
          <w:szCs w:val="28"/>
        </w:rPr>
      </w:pPr>
      <w:r>
        <w:rPr>
          <w:rFonts w:ascii="宋体" w:hAnsi="宋体"/>
          <w:sz w:val="28"/>
          <w:szCs w:val="28"/>
        </w:rPr>
        <w:t xml:space="preserve">1.3.2 </w:t>
      </w:r>
      <w:r>
        <w:rPr>
          <w:rFonts w:hint="eastAsia" w:ascii="宋体" w:hAnsi="宋体" w:cs="宋体"/>
          <w:sz w:val="28"/>
          <w:szCs w:val="28"/>
        </w:rPr>
        <w:t>合同履行期限：见供应商须知前附表。</w:t>
      </w:r>
    </w:p>
    <w:p w14:paraId="050AAB50">
      <w:pPr>
        <w:adjustRightInd w:val="0"/>
        <w:snapToGrid w:val="0"/>
        <w:spacing w:line="490" w:lineRule="exact"/>
        <w:rPr>
          <w:rFonts w:ascii="楷体" w:hAnsi="楷体" w:eastAsia="楷体"/>
          <w:b/>
          <w:sz w:val="28"/>
          <w:szCs w:val="28"/>
        </w:rPr>
      </w:pPr>
      <w:bookmarkStart w:id="87" w:name="_Toc152042310"/>
      <w:bookmarkStart w:id="88" w:name="_Toc343525509"/>
      <w:bookmarkStart w:id="89" w:name="_Toc246996179"/>
      <w:bookmarkStart w:id="90" w:name="_Toc426469875"/>
      <w:bookmarkStart w:id="91" w:name="_Toc383438596"/>
      <w:bookmarkStart w:id="92" w:name="_Toc152045534"/>
      <w:bookmarkStart w:id="93" w:name="_Toc247085693"/>
      <w:bookmarkStart w:id="94" w:name="_Toc179632551"/>
      <w:bookmarkStart w:id="95" w:name="_Toc246996922"/>
      <w:bookmarkStart w:id="96" w:name="_Toc144974502"/>
      <w:r>
        <w:rPr>
          <w:rFonts w:ascii="楷体" w:hAnsi="楷体" w:eastAsia="楷体"/>
          <w:b/>
          <w:sz w:val="28"/>
          <w:szCs w:val="28"/>
        </w:rPr>
        <w:t xml:space="preserve">1.4 </w:t>
      </w:r>
      <w:r>
        <w:rPr>
          <w:rFonts w:hint="eastAsia" w:ascii="楷体" w:hAnsi="楷体" w:eastAsia="楷体"/>
          <w:b/>
          <w:sz w:val="28"/>
          <w:szCs w:val="28"/>
        </w:rPr>
        <w:t>供应商资格要求</w:t>
      </w:r>
      <w:bookmarkEnd w:id="87"/>
      <w:bookmarkEnd w:id="88"/>
      <w:bookmarkEnd w:id="89"/>
      <w:bookmarkEnd w:id="90"/>
      <w:bookmarkEnd w:id="91"/>
      <w:bookmarkEnd w:id="92"/>
      <w:bookmarkEnd w:id="93"/>
      <w:bookmarkEnd w:id="94"/>
      <w:bookmarkEnd w:id="95"/>
      <w:bookmarkEnd w:id="96"/>
    </w:p>
    <w:p w14:paraId="063E531D">
      <w:pPr>
        <w:adjustRightInd w:val="0"/>
        <w:snapToGrid w:val="0"/>
        <w:spacing w:line="490" w:lineRule="exact"/>
        <w:ind w:firstLine="560" w:firstLineChars="200"/>
        <w:rPr>
          <w:rFonts w:ascii="宋体"/>
          <w:sz w:val="28"/>
          <w:szCs w:val="28"/>
        </w:rPr>
      </w:pPr>
      <w:r>
        <w:rPr>
          <w:rFonts w:ascii="宋体" w:hAnsi="宋体"/>
          <w:sz w:val="28"/>
          <w:szCs w:val="28"/>
        </w:rPr>
        <w:t xml:space="preserve">1.4.1 </w:t>
      </w:r>
      <w:r>
        <w:rPr>
          <w:rFonts w:hint="eastAsia" w:ascii="宋体" w:hAnsi="宋体" w:cs="宋体"/>
          <w:sz w:val="28"/>
          <w:szCs w:val="28"/>
        </w:rPr>
        <w:t>供应商参加政府采购活动应当具备下列条件：</w:t>
      </w:r>
    </w:p>
    <w:p w14:paraId="0F2C71D0">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）具有独立承担民事责任的能力；</w:t>
      </w:r>
    </w:p>
    <w:p w14:paraId="64D89D34">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）具有良好的商业信誉和健全的财务会计制度；</w:t>
      </w:r>
    </w:p>
    <w:p w14:paraId="574DA984">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）具有履行合同所必需的设备和专业技术能力；</w:t>
      </w:r>
    </w:p>
    <w:p w14:paraId="5780285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）有依法缴纳税收和社会保障资金的良好记录；</w:t>
      </w:r>
    </w:p>
    <w:p w14:paraId="126C2A60">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5</w:t>
      </w:r>
      <w:r>
        <w:rPr>
          <w:rFonts w:hint="eastAsia" w:ascii="宋体" w:hAnsi="宋体" w:cs="宋体"/>
          <w:sz w:val="28"/>
          <w:szCs w:val="28"/>
        </w:rPr>
        <w:t>）参加政府采购活动前三年内，在经营活动中没有重大违法记录；</w:t>
      </w:r>
    </w:p>
    <w:p w14:paraId="3EAFF57E">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6</w:t>
      </w:r>
      <w:r>
        <w:rPr>
          <w:rFonts w:hint="eastAsia" w:ascii="宋体" w:hAnsi="宋体" w:cs="宋体"/>
          <w:sz w:val="28"/>
          <w:szCs w:val="28"/>
        </w:rPr>
        <w:t>）法律、行政法规规定的其他条件。</w:t>
      </w:r>
    </w:p>
    <w:p w14:paraId="51E3B1B6">
      <w:pPr>
        <w:adjustRightInd w:val="0"/>
        <w:snapToGrid w:val="0"/>
        <w:spacing w:line="490" w:lineRule="exact"/>
        <w:rPr>
          <w:rFonts w:ascii="宋体"/>
          <w:sz w:val="28"/>
          <w:szCs w:val="28"/>
        </w:rPr>
      </w:pPr>
      <w:r>
        <w:rPr>
          <w:rFonts w:ascii="宋体" w:hAnsi="宋体"/>
          <w:sz w:val="28"/>
          <w:szCs w:val="28"/>
        </w:rPr>
        <w:t>1.4.2</w:t>
      </w:r>
      <w:r>
        <w:rPr>
          <w:rFonts w:hint="eastAsia" w:ascii="宋体" w:hAnsi="宋体" w:cs="宋体"/>
          <w:sz w:val="28"/>
          <w:szCs w:val="28"/>
        </w:rPr>
        <w:t>根据采购项目特殊要求，要求供应商具备的特定条件：见供应商须知前附表。</w:t>
      </w:r>
    </w:p>
    <w:p w14:paraId="67FB58F7">
      <w:pPr>
        <w:adjustRightInd w:val="0"/>
        <w:snapToGrid w:val="0"/>
        <w:spacing w:line="490" w:lineRule="exact"/>
        <w:rPr>
          <w:rFonts w:ascii="宋体"/>
          <w:sz w:val="28"/>
          <w:szCs w:val="28"/>
        </w:rPr>
      </w:pPr>
      <w:r>
        <w:rPr>
          <w:rFonts w:ascii="宋体" w:hAnsi="宋体"/>
          <w:sz w:val="28"/>
          <w:szCs w:val="28"/>
        </w:rPr>
        <w:t>1.4.3</w:t>
      </w:r>
      <w:r>
        <w:rPr>
          <w:rFonts w:hint="eastAsia" w:ascii="宋体" w:hAnsi="宋体" w:cs="宋体"/>
          <w:sz w:val="28"/>
          <w:szCs w:val="28"/>
        </w:rPr>
        <w:t>供应商不得存在下列情形之一：</w:t>
      </w:r>
    </w:p>
    <w:p w14:paraId="209CD6B5">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l</w:t>
      </w:r>
      <w:r>
        <w:rPr>
          <w:rFonts w:hint="eastAsia" w:ascii="宋体" w:hAnsi="宋体" w:cs="宋体"/>
          <w:sz w:val="28"/>
          <w:szCs w:val="28"/>
        </w:rPr>
        <w:t>）与招标人或采购代理机构存在隶属关系或者其他利害关系；</w:t>
      </w:r>
    </w:p>
    <w:p w14:paraId="743E4CFB">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）为采购项目提供了整体设计、规范编制或者项目管理、监理、检测等服务；</w:t>
      </w:r>
    </w:p>
    <w:p w14:paraId="24EA28BC">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）单位负责人为同一人或者存在直接控股、管理关系的不同供应商，参加同一合同项下的政府采购活动。</w:t>
      </w:r>
    </w:p>
    <w:p w14:paraId="43E7D5E8">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（4）以联合体形式参加政府采购活动的，联合体各方再单独参加或者与其他供应商另外组成联合体参加同一合同项下的政府采购活动。</w:t>
      </w:r>
    </w:p>
    <w:p w14:paraId="0F4223DF">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hint="eastAsia" w:ascii="宋体" w:hAnsi="宋体"/>
          <w:sz w:val="28"/>
          <w:szCs w:val="28"/>
        </w:rPr>
        <w:t>5</w:t>
      </w:r>
      <w:r>
        <w:rPr>
          <w:rFonts w:hint="eastAsia" w:ascii="宋体" w:hAnsi="宋体" w:cs="宋体"/>
          <w:sz w:val="28"/>
          <w:szCs w:val="28"/>
        </w:rPr>
        <w:t>）法律、行政法规规定的其他条件。</w:t>
      </w:r>
    </w:p>
    <w:p w14:paraId="788C39C9">
      <w:pPr>
        <w:adjustRightInd w:val="0"/>
        <w:snapToGrid w:val="0"/>
        <w:spacing w:line="490" w:lineRule="exact"/>
        <w:rPr>
          <w:rFonts w:ascii="楷体" w:hAnsi="楷体" w:eastAsia="楷体"/>
          <w:b/>
          <w:sz w:val="28"/>
          <w:szCs w:val="28"/>
        </w:rPr>
      </w:pPr>
      <w:bookmarkStart w:id="97" w:name="_Toc152042311"/>
      <w:bookmarkStart w:id="98" w:name="_Toc247085694"/>
      <w:bookmarkStart w:id="99" w:name="_Toc343525510"/>
      <w:bookmarkStart w:id="100" w:name="_Toc426469876"/>
      <w:bookmarkStart w:id="101" w:name="_Toc144974503"/>
      <w:bookmarkStart w:id="102" w:name="_Toc179632552"/>
      <w:bookmarkStart w:id="103" w:name="_Toc383438597"/>
      <w:bookmarkStart w:id="104" w:name="_Toc246996923"/>
      <w:bookmarkStart w:id="105" w:name="_Toc246996180"/>
      <w:bookmarkStart w:id="106" w:name="_Toc152045535"/>
      <w:r>
        <w:rPr>
          <w:rFonts w:ascii="楷体" w:hAnsi="楷体" w:eastAsia="楷体"/>
          <w:b/>
          <w:sz w:val="28"/>
          <w:szCs w:val="28"/>
        </w:rPr>
        <w:t>1.5</w:t>
      </w:r>
      <w:r>
        <w:rPr>
          <w:rFonts w:hint="eastAsia" w:ascii="楷体" w:hAnsi="楷体" w:eastAsia="楷体" w:cs="宋体"/>
          <w:b/>
          <w:sz w:val="28"/>
          <w:szCs w:val="28"/>
        </w:rPr>
        <w:t>费用承担</w:t>
      </w:r>
      <w:bookmarkEnd w:id="97"/>
      <w:bookmarkEnd w:id="98"/>
      <w:bookmarkEnd w:id="99"/>
      <w:bookmarkEnd w:id="100"/>
      <w:bookmarkEnd w:id="101"/>
      <w:bookmarkEnd w:id="102"/>
      <w:bookmarkEnd w:id="103"/>
      <w:bookmarkEnd w:id="104"/>
      <w:bookmarkEnd w:id="105"/>
      <w:bookmarkEnd w:id="106"/>
    </w:p>
    <w:p w14:paraId="57620FB0">
      <w:pPr>
        <w:adjustRightInd w:val="0"/>
        <w:snapToGrid w:val="0"/>
        <w:spacing w:line="490" w:lineRule="exact"/>
        <w:ind w:firstLine="560" w:firstLineChars="200"/>
        <w:rPr>
          <w:rFonts w:ascii="宋体"/>
          <w:sz w:val="28"/>
          <w:szCs w:val="28"/>
        </w:rPr>
      </w:pPr>
      <w:r>
        <w:rPr>
          <w:rFonts w:hint="eastAsia" w:ascii="宋体" w:hAnsi="宋体" w:cs="宋体"/>
          <w:sz w:val="28"/>
          <w:szCs w:val="28"/>
        </w:rPr>
        <w:t>无论采购结果如何，供应商为准备和参加投标活动发生的费用自理。</w:t>
      </w:r>
    </w:p>
    <w:p w14:paraId="385783F5">
      <w:pPr>
        <w:adjustRightInd w:val="0"/>
        <w:snapToGrid w:val="0"/>
        <w:spacing w:line="490" w:lineRule="exact"/>
        <w:rPr>
          <w:rFonts w:ascii="楷体" w:hAnsi="楷体" w:eastAsia="楷体"/>
          <w:b/>
          <w:sz w:val="28"/>
          <w:szCs w:val="28"/>
        </w:rPr>
      </w:pPr>
      <w:bookmarkStart w:id="107" w:name="_Toc144974505"/>
      <w:bookmarkStart w:id="108" w:name="_Toc152042313"/>
      <w:bookmarkStart w:id="109" w:name="_Toc246996182"/>
      <w:bookmarkStart w:id="110" w:name="_Toc152045537"/>
      <w:bookmarkStart w:id="111" w:name="_Toc383438599"/>
      <w:bookmarkStart w:id="112" w:name="_Toc246996925"/>
      <w:bookmarkStart w:id="113" w:name="_Toc247085696"/>
      <w:bookmarkStart w:id="114" w:name="_Toc179632554"/>
      <w:bookmarkStart w:id="115" w:name="_Toc426469878"/>
      <w:bookmarkStart w:id="116" w:name="_Toc343525512"/>
      <w:r>
        <w:rPr>
          <w:rFonts w:ascii="楷体" w:hAnsi="楷体" w:eastAsia="楷体"/>
          <w:b/>
          <w:sz w:val="28"/>
          <w:szCs w:val="28"/>
        </w:rPr>
        <w:t>1.</w:t>
      </w:r>
      <w:r>
        <w:rPr>
          <w:rFonts w:hint="eastAsia" w:ascii="楷体" w:hAnsi="楷体" w:eastAsia="楷体"/>
          <w:b/>
          <w:sz w:val="28"/>
          <w:szCs w:val="28"/>
        </w:rPr>
        <w:t>6</w:t>
      </w:r>
      <w:r>
        <w:rPr>
          <w:rFonts w:hint="eastAsia" w:ascii="楷体" w:hAnsi="楷体" w:eastAsia="楷体" w:cs="宋体"/>
          <w:b/>
          <w:sz w:val="28"/>
          <w:szCs w:val="28"/>
        </w:rPr>
        <w:t>语言</w:t>
      </w:r>
      <w:bookmarkEnd w:id="107"/>
      <w:r>
        <w:rPr>
          <w:rFonts w:hint="eastAsia" w:ascii="楷体" w:hAnsi="楷体" w:eastAsia="楷体" w:cs="宋体"/>
          <w:b/>
          <w:sz w:val="28"/>
          <w:szCs w:val="28"/>
        </w:rPr>
        <w:t>文字</w:t>
      </w:r>
      <w:bookmarkEnd w:id="108"/>
      <w:bookmarkEnd w:id="109"/>
      <w:bookmarkEnd w:id="110"/>
      <w:bookmarkEnd w:id="111"/>
      <w:bookmarkEnd w:id="112"/>
      <w:bookmarkEnd w:id="113"/>
      <w:bookmarkEnd w:id="114"/>
      <w:bookmarkEnd w:id="115"/>
      <w:bookmarkEnd w:id="116"/>
    </w:p>
    <w:p w14:paraId="7E69992F">
      <w:pPr>
        <w:adjustRightInd w:val="0"/>
        <w:snapToGrid w:val="0"/>
        <w:spacing w:line="490" w:lineRule="exact"/>
        <w:ind w:firstLine="560" w:firstLineChars="200"/>
        <w:rPr>
          <w:rFonts w:ascii="宋体"/>
          <w:sz w:val="28"/>
          <w:szCs w:val="28"/>
        </w:rPr>
      </w:pPr>
      <w:bookmarkStart w:id="117" w:name="_Toc179632555"/>
      <w:bookmarkStart w:id="118" w:name="_Toc246996926"/>
      <w:bookmarkStart w:id="119" w:name="_Toc247085697"/>
      <w:bookmarkStart w:id="120" w:name="_Toc152045538"/>
      <w:bookmarkStart w:id="121" w:name="_Toc144974506"/>
      <w:bookmarkStart w:id="122" w:name="_Toc246996183"/>
      <w:bookmarkStart w:id="123" w:name="_Toc152042314"/>
      <w:r>
        <w:rPr>
          <w:rFonts w:hint="eastAsia" w:ascii="宋体" w:hAnsi="宋体" w:cs="宋体"/>
          <w:sz w:val="28"/>
          <w:szCs w:val="28"/>
        </w:rPr>
        <w:t>招投标文件使用的语言文字为中文。专用术语使用外文的，应附有中文注释。</w:t>
      </w:r>
    </w:p>
    <w:p w14:paraId="0CCFB18E">
      <w:pPr>
        <w:adjustRightInd w:val="0"/>
        <w:snapToGrid w:val="0"/>
        <w:spacing w:line="490" w:lineRule="exact"/>
        <w:rPr>
          <w:rFonts w:ascii="楷体" w:hAnsi="楷体" w:eastAsia="楷体"/>
          <w:b/>
          <w:sz w:val="28"/>
          <w:szCs w:val="28"/>
        </w:rPr>
      </w:pPr>
      <w:bookmarkStart w:id="124" w:name="_Toc426469879"/>
      <w:bookmarkStart w:id="125" w:name="_Toc383438600"/>
      <w:bookmarkStart w:id="126" w:name="_Toc343525513"/>
      <w:r>
        <w:rPr>
          <w:rFonts w:ascii="楷体" w:hAnsi="楷体" w:eastAsia="楷体"/>
          <w:b/>
          <w:sz w:val="28"/>
          <w:szCs w:val="28"/>
        </w:rPr>
        <w:t>1.</w:t>
      </w:r>
      <w:r>
        <w:rPr>
          <w:rFonts w:hint="eastAsia" w:ascii="楷体" w:hAnsi="楷体" w:eastAsia="楷体"/>
          <w:b/>
          <w:sz w:val="28"/>
          <w:szCs w:val="28"/>
        </w:rPr>
        <w:t>7</w:t>
      </w:r>
      <w:r>
        <w:rPr>
          <w:rFonts w:ascii="楷体" w:hAnsi="楷体" w:eastAsia="楷体"/>
          <w:b/>
          <w:sz w:val="28"/>
          <w:szCs w:val="28"/>
        </w:rPr>
        <w:t xml:space="preserve"> </w:t>
      </w:r>
      <w:r>
        <w:rPr>
          <w:rFonts w:hint="eastAsia" w:ascii="楷体" w:hAnsi="楷体" w:eastAsia="楷体" w:cs="宋体"/>
          <w:b/>
          <w:sz w:val="28"/>
          <w:szCs w:val="28"/>
        </w:rPr>
        <w:t>计量单位</w:t>
      </w:r>
      <w:bookmarkEnd w:id="117"/>
      <w:bookmarkEnd w:id="118"/>
      <w:bookmarkEnd w:id="119"/>
      <w:bookmarkEnd w:id="120"/>
      <w:bookmarkEnd w:id="121"/>
      <w:bookmarkEnd w:id="122"/>
      <w:bookmarkEnd w:id="123"/>
      <w:bookmarkEnd w:id="124"/>
      <w:bookmarkEnd w:id="125"/>
      <w:bookmarkEnd w:id="126"/>
    </w:p>
    <w:p w14:paraId="127132D4">
      <w:pPr>
        <w:adjustRightInd w:val="0"/>
        <w:snapToGrid w:val="0"/>
        <w:spacing w:line="490" w:lineRule="exact"/>
        <w:ind w:firstLine="560" w:firstLineChars="200"/>
        <w:rPr>
          <w:rFonts w:ascii="宋体"/>
          <w:sz w:val="28"/>
          <w:szCs w:val="28"/>
        </w:rPr>
      </w:pPr>
      <w:r>
        <w:rPr>
          <w:rFonts w:hint="eastAsia" w:ascii="宋体" w:hAnsi="宋体" w:cs="宋体"/>
          <w:sz w:val="28"/>
          <w:szCs w:val="28"/>
        </w:rPr>
        <w:t>所有计量均采用中华人民共和国法定计量单位。</w:t>
      </w:r>
    </w:p>
    <w:p w14:paraId="59EE1C39">
      <w:pPr>
        <w:adjustRightInd w:val="0"/>
        <w:snapToGrid w:val="0"/>
        <w:spacing w:line="490" w:lineRule="exact"/>
        <w:rPr>
          <w:rFonts w:ascii="楷体" w:hAnsi="楷体" w:eastAsia="楷体"/>
          <w:b/>
          <w:sz w:val="28"/>
          <w:szCs w:val="28"/>
        </w:rPr>
      </w:pPr>
      <w:bookmarkStart w:id="127" w:name="_Toc426469881"/>
      <w:r>
        <w:rPr>
          <w:rFonts w:ascii="楷体" w:hAnsi="楷体" w:eastAsia="楷体"/>
          <w:b/>
          <w:sz w:val="28"/>
          <w:szCs w:val="28"/>
        </w:rPr>
        <w:t>1.</w:t>
      </w:r>
      <w:r>
        <w:rPr>
          <w:rFonts w:hint="eastAsia" w:ascii="楷体" w:hAnsi="楷体" w:eastAsia="楷体"/>
          <w:b/>
          <w:sz w:val="28"/>
          <w:szCs w:val="28"/>
        </w:rPr>
        <w:t>8</w:t>
      </w:r>
      <w:r>
        <w:rPr>
          <w:rFonts w:hint="eastAsia" w:ascii="楷体" w:hAnsi="楷体" w:eastAsia="楷体" w:cs="宋体"/>
          <w:b/>
          <w:sz w:val="28"/>
          <w:szCs w:val="28"/>
        </w:rPr>
        <w:t>偏离</w:t>
      </w:r>
      <w:bookmarkEnd w:id="127"/>
    </w:p>
    <w:p w14:paraId="76BA5AA6">
      <w:pPr>
        <w:adjustRightInd w:val="0"/>
        <w:snapToGrid w:val="0"/>
        <w:spacing w:line="490" w:lineRule="exact"/>
        <w:ind w:firstLine="560" w:firstLineChars="200"/>
        <w:rPr>
          <w:rFonts w:ascii="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.1</w:t>
      </w:r>
      <w:r>
        <w:rPr>
          <w:rFonts w:hint="eastAsia" w:ascii="宋体" w:hAnsi="宋体" w:cs="宋体"/>
          <w:sz w:val="28"/>
          <w:szCs w:val="28"/>
        </w:rPr>
        <w:t>偏离是指投标文件中的内容与招标文件中规定的技术参数、标准、服务要求等不一致的情形。优于招标文件规定的技术参数、标准、服务要求的为正偏离，反之为负偏离。</w:t>
      </w:r>
    </w:p>
    <w:p w14:paraId="5FF56880">
      <w:pPr>
        <w:adjustRightInd w:val="0"/>
        <w:snapToGrid w:val="0"/>
        <w:spacing w:line="490" w:lineRule="exact"/>
        <w:ind w:firstLine="560" w:firstLineChars="200"/>
        <w:rPr>
          <w:rFonts w:ascii="宋体" w:hAnsi="宋体" w:cs="宋体"/>
          <w:sz w:val="28"/>
          <w:szCs w:val="28"/>
        </w:rPr>
      </w:pPr>
      <w:r>
        <w:rPr>
          <w:rFonts w:ascii="宋体" w:hAnsi="宋体"/>
          <w:sz w:val="28"/>
          <w:szCs w:val="28"/>
        </w:rPr>
        <w:t>1.</w:t>
      </w:r>
      <w:r>
        <w:rPr>
          <w:rFonts w:hint="eastAsia" w:ascii="宋体" w:hAnsi="宋体"/>
          <w:sz w:val="28"/>
          <w:szCs w:val="28"/>
        </w:rPr>
        <w:t>8</w:t>
      </w:r>
      <w:r>
        <w:rPr>
          <w:rFonts w:ascii="宋体" w:hAnsi="宋体"/>
          <w:sz w:val="28"/>
          <w:szCs w:val="28"/>
        </w:rPr>
        <w:t>.2</w:t>
      </w:r>
      <w:r>
        <w:rPr>
          <w:rFonts w:hint="eastAsia" w:ascii="宋体" w:hAnsi="宋体" w:cs="宋体"/>
          <w:sz w:val="28"/>
          <w:szCs w:val="28"/>
        </w:rPr>
        <w:t>偏离的具体要求见供应商须知前附表。</w:t>
      </w:r>
    </w:p>
    <w:p w14:paraId="1B819963">
      <w:pPr>
        <w:adjustRightInd w:val="0"/>
        <w:snapToGrid w:val="0"/>
        <w:spacing w:line="490" w:lineRule="exact"/>
        <w:rPr>
          <w:rFonts w:ascii="黑体" w:hAnsi="黑体" w:eastAsia="黑体"/>
          <w:sz w:val="32"/>
          <w:szCs w:val="32"/>
        </w:rPr>
      </w:pPr>
      <w:bookmarkStart w:id="128" w:name="_Toc426469882"/>
      <w:bookmarkStart w:id="129" w:name="_Toc383438604"/>
      <w:bookmarkStart w:id="130" w:name="_Toc343525517"/>
      <w:r>
        <w:rPr>
          <w:rFonts w:ascii="黑体" w:hAnsi="黑体" w:eastAsia="黑体"/>
          <w:sz w:val="32"/>
          <w:szCs w:val="32"/>
        </w:rPr>
        <w:t xml:space="preserve">2. </w:t>
      </w:r>
      <w:r>
        <w:rPr>
          <w:rFonts w:hint="eastAsia" w:ascii="黑体" w:hAnsi="黑体" w:eastAsia="黑体" w:cs="宋体"/>
          <w:sz w:val="32"/>
          <w:szCs w:val="32"/>
        </w:rPr>
        <w:t>招标文件</w:t>
      </w:r>
      <w:bookmarkEnd w:id="128"/>
      <w:bookmarkEnd w:id="129"/>
      <w:bookmarkEnd w:id="130"/>
    </w:p>
    <w:p w14:paraId="74F34EC5">
      <w:pPr>
        <w:adjustRightInd w:val="0"/>
        <w:snapToGrid w:val="0"/>
        <w:spacing w:line="490" w:lineRule="exact"/>
        <w:rPr>
          <w:rFonts w:ascii="楷体" w:hAnsi="楷体" w:eastAsia="楷体"/>
          <w:b/>
          <w:sz w:val="28"/>
          <w:szCs w:val="28"/>
        </w:rPr>
      </w:pPr>
      <w:bookmarkStart w:id="131" w:name="_Toc247085702"/>
      <w:bookmarkStart w:id="132" w:name="_Toc144974511"/>
      <w:bookmarkStart w:id="133" w:name="_Toc246996188"/>
      <w:bookmarkStart w:id="134" w:name="_Toc246996931"/>
      <w:bookmarkStart w:id="135" w:name="_Toc343525518"/>
      <w:bookmarkStart w:id="136" w:name="_Toc152042319"/>
      <w:bookmarkStart w:id="137" w:name="_Toc426469883"/>
      <w:bookmarkStart w:id="138" w:name="_Toc179632561"/>
      <w:bookmarkStart w:id="139" w:name="_Toc383438605"/>
      <w:bookmarkStart w:id="140" w:name="_Toc152045543"/>
      <w:r>
        <w:rPr>
          <w:rFonts w:ascii="楷体" w:hAnsi="楷体" w:eastAsia="楷体"/>
          <w:b/>
          <w:sz w:val="28"/>
          <w:szCs w:val="28"/>
        </w:rPr>
        <w:t xml:space="preserve">2.1 </w:t>
      </w:r>
      <w:r>
        <w:rPr>
          <w:rFonts w:hint="eastAsia" w:ascii="楷体" w:hAnsi="楷体" w:eastAsia="楷体" w:cs="宋体"/>
          <w:b/>
          <w:sz w:val="28"/>
          <w:szCs w:val="28"/>
        </w:rPr>
        <w:t>招标文件的组成</w:t>
      </w:r>
      <w:bookmarkEnd w:id="131"/>
      <w:bookmarkEnd w:id="132"/>
      <w:bookmarkEnd w:id="133"/>
      <w:bookmarkEnd w:id="134"/>
      <w:bookmarkEnd w:id="135"/>
      <w:bookmarkEnd w:id="136"/>
      <w:bookmarkEnd w:id="137"/>
      <w:bookmarkEnd w:id="138"/>
      <w:bookmarkEnd w:id="139"/>
      <w:bookmarkEnd w:id="140"/>
    </w:p>
    <w:p w14:paraId="79BA656F">
      <w:pPr>
        <w:adjustRightInd w:val="0"/>
        <w:snapToGrid w:val="0"/>
        <w:spacing w:line="49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本招标文件包括：</w:t>
      </w:r>
    </w:p>
    <w:p w14:paraId="7802E1C5">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）招标公告；</w:t>
      </w:r>
    </w:p>
    <w:p w14:paraId="0BE8C8DD">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）供应商须知；</w:t>
      </w:r>
    </w:p>
    <w:p w14:paraId="56560417">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）评标办法；</w:t>
      </w:r>
    </w:p>
    <w:p w14:paraId="2FB6A51E">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）合同条款及格式；</w:t>
      </w:r>
    </w:p>
    <w:p w14:paraId="381B5B4B">
      <w:pPr>
        <w:adjustRightInd w:val="0"/>
        <w:snapToGrid w:val="0"/>
        <w:spacing w:line="490" w:lineRule="exact"/>
        <w:ind w:firstLine="560" w:firstLineChars="200"/>
        <w:rPr>
          <w:rFonts w:ascii="宋体" w:hAnsi="宋体"/>
          <w:sz w:val="28"/>
          <w:szCs w:val="28"/>
        </w:rPr>
      </w:pPr>
      <w:r>
        <w:rPr>
          <w:rFonts w:hint="eastAsia" w:ascii="宋体" w:hAnsi="宋体" w:cs="宋体"/>
          <w:sz w:val="28"/>
          <w:szCs w:val="28"/>
        </w:rPr>
        <w:t>（</w:t>
      </w:r>
      <w:r>
        <w:rPr>
          <w:rFonts w:ascii="宋体" w:hAnsi="宋体"/>
          <w:sz w:val="28"/>
          <w:szCs w:val="28"/>
        </w:rPr>
        <w:t>5</w:t>
      </w:r>
      <w:r>
        <w:rPr>
          <w:rFonts w:hint="eastAsia" w:ascii="宋体" w:hAnsi="宋体" w:cs="宋体"/>
          <w:sz w:val="28"/>
          <w:szCs w:val="28"/>
        </w:rPr>
        <w:t>）</w:t>
      </w:r>
      <w:r>
        <w:rPr>
          <w:rFonts w:hint="eastAsia" w:ascii="宋体" w:hAnsi="宋体"/>
          <w:sz w:val="28"/>
          <w:szCs w:val="28"/>
        </w:rPr>
        <w:t>采购需求</w:t>
      </w:r>
      <w:r>
        <w:rPr>
          <w:rFonts w:hint="eastAsia" w:ascii="宋体" w:hAnsi="宋体" w:cs="宋体"/>
          <w:sz w:val="28"/>
          <w:szCs w:val="28"/>
        </w:rPr>
        <w:t>；</w:t>
      </w:r>
      <w:r>
        <w:rPr>
          <w:rFonts w:ascii="宋体" w:hAnsi="宋体"/>
          <w:sz w:val="28"/>
          <w:szCs w:val="28"/>
        </w:rPr>
        <w:t xml:space="preserve"> </w:t>
      </w:r>
    </w:p>
    <w:p w14:paraId="17BADA12">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6</w:t>
      </w:r>
      <w:r>
        <w:rPr>
          <w:rFonts w:hint="eastAsia" w:ascii="宋体" w:hAnsi="宋体" w:cs="宋体"/>
          <w:sz w:val="28"/>
          <w:szCs w:val="28"/>
        </w:rPr>
        <w:t>）投标文件的编制要求及参考格式；</w:t>
      </w:r>
    </w:p>
    <w:p w14:paraId="7429F7A9">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7</w:t>
      </w:r>
      <w:r>
        <w:rPr>
          <w:rFonts w:hint="eastAsia" w:ascii="宋体" w:hAnsi="宋体" w:cs="宋体"/>
          <w:sz w:val="28"/>
          <w:szCs w:val="28"/>
        </w:rPr>
        <w:t>）供应商须知前附表规定的构成招标文件的其他材料。</w:t>
      </w:r>
    </w:p>
    <w:p w14:paraId="3318EA9F">
      <w:pPr>
        <w:adjustRightInd w:val="0"/>
        <w:snapToGrid w:val="0"/>
        <w:spacing w:line="49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根据本章第</w:t>
      </w:r>
      <w:r>
        <w:rPr>
          <w:rFonts w:ascii="宋体" w:hAnsi="宋体"/>
          <w:sz w:val="28"/>
          <w:szCs w:val="28"/>
        </w:rPr>
        <w:t>2.2</w:t>
      </w:r>
      <w:r>
        <w:rPr>
          <w:rFonts w:hint="eastAsia" w:ascii="宋体" w:hAnsi="宋体" w:cs="宋体"/>
          <w:sz w:val="28"/>
          <w:szCs w:val="28"/>
        </w:rPr>
        <w:t>款和第</w:t>
      </w:r>
      <w:r>
        <w:rPr>
          <w:rFonts w:ascii="宋体" w:hAnsi="宋体"/>
          <w:sz w:val="28"/>
          <w:szCs w:val="28"/>
        </w:rPr>
        <w:t>2.3</w:t>
      </w:r>
      <w:r>
        <w:rPr>
          <w:rFonts w:hint="eastAsia" w:ascii="宋体" w:hAnsi="宋体" w:cs="宋体"/>
          <w:sz w:val="28"/>
          <w:szCs w:val="28"/>
        </w:rPr>
        <w:t>款对招标文件所作的澄清、修改，构成招标文件的组成部分</w:t>
      </w:r>
      <w:r>
        <w:rPr>
          <w:rFonts w:hint="eastAsia" w:ascii="宋体" w:hAnsi="宋体"/>
          <w:sz w:val="28"/>
          <w:szCs w:val="28"/>
        </w:rPr>
        <w:t>。</w:t>
      </w:r>
    </w:p>
    <w:p w14:paraId="70CC8283">
      <w:pPr>
        <w:adjustRightInd w:val="0"/>
        <w:snapToGrid w:val="0"/>
        <w:spacing w:line="490" w:lineRule="exact"/>
        <w:rPr>
          <w:rFonts w:ascii="楷体" w:hAnsi="楷体" w:eastAsia="楷体"/>
          <w:b/>
          <w:sz w:val="28"/>
          <w:szCs w:val="28"/>
        </w:rPr>
      </w:pPr>
      <w:bookmarkStart w:id="141" w:name="_Toc343525519"/>
      <w:bookmarkStart w:id="142" w:name="_Toc246996932"/>
      <w:bookmarkStart w:id="143" w:name="_Toc152042320"/>
      <w:bookmarkStart w:id="144" w:name="_Toc426469884"/>
      <w:bookmarkStart w:id="145" w:name="_Toc179632562"/>
      <w:bookmarkStart w:id="146" w:name="_Toc152045544"/>
      <w:bookmarkStart w:id="147" w:name="_Toc383438606"/>
      <w:bookmarkStart w:id="148" w:name="_Toc246996189"/>
      <w:bookmarkStart w:id="149" w:name="_Toc247085703"/>
      <w:bookmarkStart w:id="150" w:name="_Toc144974512"/>
      <w:r>
        <w:rPr>
          <w:rFonts w:ascii="楷体" w:hAnsi="楷体" w:eastAsia="楷体"/>
          <w:b/>
          <w:sz w:val="28"/>
          <w:szCs w:val="28"/>
        </w:rPr>
        <w:t xml:space="preserve">2.2 </w:t>
      </w:r>
      <w:r>
        <w:rPr>
          <w:rFonts w:hint="eastAsia" w:ascii="楷体" w:hAnsi="楷体" w:eastAsia="楷体" w:cs="宋体"/>
          <w:b/>
          <w:sz w:val="28"/>
          <w:szCs w:val="28"/>
        </w:rPr>
        <w:t>招标文件的澄清</w:t>
      </w:r>
      <w:bookmarkEnd w:id="141"/>
      <w:bookmarkEnd w:id="142"/>
      <w:bookmarkEnd w:id="143"/>
      <w:bookmarkEnd w:id="144"/>
      <w:bookmarkEnd w:id="145"/>
      <w:bookmarkEnd w:id="146"/>
      <w:bookmarkEnd w:id="147"/>
      <w:bookmarkEnd w:id="148"/>
      <w:bookmarkEnd w:id="149"/>
      <w:bookmarkEnd w:id="150"/>
      <w:r>
        <w:rPr>
          <w:rFonts w:ascii="楷体" w:hAnsi="楷体" w:eastAsia="楷体"/>
          <w:b/>
          <w:sz w:val="28"/>
          <w:szCs w:val="28"/>
        </w:rPr>
        <w:t xml:space="preserve"> </w:t>
      </w:r>
    </w:p>
    <w:p w14:paraId="12D47D65">
      <w:pPr>
        <w:adjustRightInd w:val="0"/>
        <w:snapToGrid w:val="0"/>
        <w:spacing w:line="490" w:lineRule="exact"/>
        <w:ind w:firstLine="560" w:firstLineChars="200"/>
        <w:rPr>
          <w:rFonts w:ascii="宋体"/>
          <w:sz w:val="28"/>
          <w:szCs w:val="28"/>
        </w:rPr>
      </w:pPr>
      <w:r>
        <w:rPr>
          <w:rFonts w:hint="eastAsia" w:ascii="宋体" w:hAnsi="宋体" w:cs="宋体"/>
          <w:sz w:val="28"/>
          <w:szCs w:val="28"/>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255B7E80">
      <w:pPr>
        <w:adjustRightInd w:val="0"/>
        <w:snapToGrid w:val="0"/>
        <w:spacing w:line="490" w:lineRule="exact"/>
        <w:ind w:firstLine="560" w:firstLineChars="200"/>
        <w:rPr>
          <w:rFonts w:ascii="宋体"/>
          <w:sz w:val="28"/>
          <w:szCs w:val="28"/>
        </w:rPr>
      </w:pPr>
      <w:r>
        <w:rPr>
          <w:rFonts w:hint="eastAsia" w:ascii="宋体" w:hAnsi="宋体" w:cs="宋体"/>
          <w:sz w:val="28"/>
          <w:szCs w:val="28"/>
        </w:rPr>
        <w:t>招标文件的澄清将在投标截止时间</w:t>
      </w:r>
      <w:r>
        <w:rPr>
          <w:rFonts w:ascii="宋体" w:hAnsi="宋体"/>
          <w:sz w:val="28"/>
          <w:szCs w:val="28"/>
        </w:rPr>
        <w:t>15</w:t>
      </w:r>
      <w:r>
        <w:rPr>
          <w:rFonts w:hint="eastAsia" w:ascii="宋体" w:hAnsi="宋体" w:cs="宋体"/>
          <w:sz w:val="28"/>
          <w:szCs w:val="28"/>
        </w:rPr>
        <w:t>天前在原公告信息发布媒体公开发布</w:t>
      </w:r>
      <w:r>
        <w:rPr>
          <w:rFonts w:ascii="宋体"/>
          <w:sz w:val="28"/>
          <w:szCs w:val="28"/>
        </w:rPr>
        <w:t>,</w:t>
      </w:r>
      <w:r>
        <w:rPr>
          <w:rFonts w:hint="eastAsia" w:ascii="宋体" w:hAnsi="宋体" w:cs="宋体"/>
          <w:sz w:val="28"/>
          <w:szCs w:val="28"/>
        </w:rPr>
        <w:t>但不指明问题的来源。如果澄清发布的时间距投标截止时间不足</w:t>
      </w:r>
      <w:r>
        <w:rPr>
          <w:rFonts w:ascii="宋体" w:hAnsi="宋体"/>
          <w:sz w:val="28"/>
          <w:szCs w:val="28"/>
        </w:rPr>
        <w:t>15</w:t>
      </w:r>
      <w:r>
        <w:rPr>
          <w:rFonts w:hint="eastAsia" w:ascii="宋体" w:hAnsi="宋体" w:cs="宋体"/>
          <w:sz w:val="28"/>
          <w:szCs w:val="28"/>
        </w:rPr>
        <w:t>天，并且澄清内容影响投标文件编制的，将相应延长投标截止时间。</w:t>
      </w:r>
    </w:p>
    <w:p w14:paraId="3276E457">
      <w:pPr>
        <w:adjustRightInd w:val="0"/>
        <w:snapToGrid w:val="0"/>
        <w:spacing w:line="490" w:lineRule="exact"/>
        <w:rPr>
          <w:rFonts w:ascii="楷体" w:hAnsi="楷体" w:eastAsia="楷体"/>
          <w:b/>
          <w:sz w:val="28"/>
          <w:szCs w:val="28"/>
        </w:rPr>
      </w:pPr>
      <w:bookmarkStart w:id="151" w:name="_Toc152042321"/>
      <w:bookmarkStart w:id="152" w:name="_Toc152045545"/>
      <w:bookmarkStart w:id="153" w:name="_Toc246996190"/>
      <w:bookmarkStart w:id="154" w:name="_Toc247085704"/>
      <w:bookmarkStart w:id="155" w:name="_Toc144974513"/>
      <w:bookmarkStart w:id="156" w:name="_Toc246996933"/>
      <w:bookmarkStart w:id="157" w:name="_Toc179632563"/>
      <w:bookmarkStart w:id="158" w:name="_Toc426469885"/>
      <w:bookmarkStart w:id="159" w:name="_Toc383438607"/>
      <w:bookmarkStart w:id="160" w:name="_Toc343525520"/>
      <w:r>
        <w:rPr>
          <w:rFonts w:ascii="楷体" w:hAnsi="楷体" w:eastAsia="楷体"/>
          <w:b/>
          <w:sz w:val="28"/>
          <w:szCs w:val="28"/>
        </w:rPr>
        <w:t xml:space="preserve">2.3 </w:t>
      </w:r>
      <w:r>
        <w:rPr>
          <w:rFonts w:hint="eastAsia" w:ascii="楷体" w:hAnsi="楷体" w:eastAsia="楷体" w:cs="宋体"/>
          <w:b/>
          <w:sz w:val="28"/>
          <w:szCs w:val="28"/>
        </w:rPr>
        <w:t>招标文件的修改</w:t>
      </w:r>
      <w:bookmarkEnd w:id="151"/>
      <w:bookmarkEnd w:id="152"/>
      <w:bookmarkEnd w:id="153"/>
      <w:bookmarkEnd w:id="154"/>
      <w:bookmarkEnd w:id="155"/>
      <w:bookmarkEnd w:id="156"/>
      <w:bookmarkEnd w:id="157"/>
      <w:bookmarkEnd w:id="158"/>
      <w:bookmarkEnd w:id="159"/>
      <w:bookmarkEnd w:id="160"/>
    </w:p>
    <w:p w14:paraId="1F17F166">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15</w:t>
      </w:r>
      <w:r>
        <w:rPr>
          <w:rFonts w:hint="eastAsia" w:ascii="宋体" w:hAnsi="宋体" w:cs="宋体"/>
          <w:sz w:val="28"/>
          <w:szCs w:val="28"/>
        </w:rPr>
        <w:t>天，并且修改内容影响投标文件编制的，将相应延长投标截止时间。</w:t>
      </w:r>
    </w:p>
    <w:p w14:paraId="3E2C1145">
      <w:pPr>
        <w:adjustRightInd w:val="0"/>
        <w:snapToGrid w:val="0"/>
        <w:spacing w:line="490" w:lineRule="exact"/>
        <w:rPr>
          <w:rFonts w:ascii="楷体" w:hAnsi="楷体" w:eastAsia="楷体" w:cs="宋体"/>
          <w:b/>
          <w:sz w:val="28"/>
          <w:szCs w:val="28"/>
        </w:rPr>
      </w:pPr>
      <w:r>
        <w:rPr>
          <w:rFonts w:hint="eastAsia" w:ascii="楷体" w:hAnsi="楷体" w:eastAsia="楷体" w:cs="宋体"/>
          <w:b/>
          <w:sz w:val="28"/>
          <w:szCs w:val="28"/>
        </w:rPr>
        <w:t>2.4招标文件的重新发布</w:t>
      </w:r>
    </w:p>
    <w:p w14:paraId="28210FDF">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招标文件的澄清或修改涉及到申请人的资格条件、评标办法、采购需求等实质性内容时，将重新发布招标公告。</w:t>
      </w:r>
    </w:p>
    <w:p w14:paraId="41475854">
      <w:pPr>
        <w:adjustRightInd w:val="0"/>
        <w:snapToGrid w:val="0"/>
        <w:spacing w:line="490" w:lineRule="exact"/>
        <w:rPr>
          <w:rFonts w:ascii="黑体" w:hAnsi="黑体" w:eastAsia="黑体"/>
          <w:b/>
          <w:sz w:val="32"/>
          <w:szCs w:val="32"/>
        </w:rPr>
      </w:pPr>
      <w:bookmarkStart w:id="161" w:name="_Toc383438609"/>
      <w:bookmarkStart w:id="162" w:name="_Toc179632564"/>
      <w:bookmarkStart w:id="163" w:name="_Toc152045546"/>
      <w:bookmarkStart w:id="164" w:name="_Toc246996191"/>
      <w:bookmarkStart w:id="165" w:name="_Toc144974514"/>
      <w:bookmarkStart w:id="166" w:name="_Toc247085705"/>
      <w:bookmarkStart w:id="167" w:name="_Toc152042322"/>
      <w:bookmarkStart w:id="168" w:name="_Toc343525522"/>
      <w:bookmarkStart w:id="169" w:name="_Toc246996934"/>
      <w:bookmarkStart w:id="170" w:name="_Toc426469887"/>
      <w:r>
        <w:rPr>
          <w:rFonts w:ascii="黑体" w:hAnsi="黑体" w:eastAsia="黑体"/>
          <w:b/>
          <w:sz w:val="32"/>
          <w:szCs w:val="32"/>
        </w:rPr>
        <w:t xml:space="preserve">3. </w:t>
      </w:r>
      <w:r>
        <w:rPr>
          <w:rFonts w:hint="eastAsia" w:ascii="黑体" w:hAnsi="黑体" w:eastAsia="黑体" w:cs="宋体"/>
          <w:b/>
          <w:sz w:val="32"/>
          <w:szCs w:val="32"/>
        </w:rPr>
        <w:t>投标</w:t>
      </w:r>
      <w:bookmarkEnd w:id="161"/>
      <w:bookmarkEnd w:id="162"/>
      <w:bookmarkEnd w:id="163"/>
      <w:bookmarkEnd w:id="164"/>
      <w:bookmarkEnd w:id="165"/>
      <w:bookmarkEnd w:id="166"/>
      <w:bookmarkEnd w:id="167"/>
      <w:bookmarkEnd w:id="168"/>
      <w:bookmarkEnd w:id="169"/>
      <w:r>
        <w:rPr>
          <w:rFonts w:hint="eastAsia" w:ascii="黑体" w:hAnsi="黑体" w:eastAsia="黑体" w:cs="宋体"/>
          <w:b/>
          <w:sz w:val="32"/>
          <w:szCs w:val="32"/>
        </w:rPr>
        <w:t>文件</w:t>
      </w:r>
      <w:bookmarkEnd w:id="170"/>
    </w:p>
    <w:p w14:paraId="321C6215">
      <w:pPr>
        <w:adjustRightInd w:val="0"/>
        <w:snapToGrid w:val="0"/>
        <w:spacing w:line="490" w:lineRule="exact"/>
        <w:rPr>
          <w:rFonts w:ascii="楷体" w:hAnsi="楷体" w:eastAsia="楷体" w:cs="宋体"/>
          <w:b/>
          <w:sz w:val="28"/>
          <w:szCs w:val="28"/>
        </w:rPr>
      </w:pPr>
      <w:bookmarkStart w:id="171" w:name="_Toc144974515"/>
      <w:bookmarkStart w:id="172" w:name="_Toc152045547"/>
      <w:bookmarkStart w:id="173" w:name="_Toc247085706"/>
      <w:bookmarkStart w:id="174" w:name="_Toc246996935"/>
      <w:bookmarkStart w:id="175" w:name="_Toc383438610"/>
      <w:bookmarkStart w:id="176" w:name="_Toc179632565"/>
      <w:bookmarkStart w:id="177" w:name="_Toc343525523"/>
      <w:bookmarkStart w:id="178" w:name="_Toc246996192"/>
      <w:bookmarkStart w:id="179" w:name="_Toc152042323"/>
      <w:bookmarkStart w:id="180" w:name="_Toc426469888"/>
      <w:r>
        <w:rPr>
          <w:rFonts w:ascii="楷体" w:hAnsi="楷体" w:eastAsia="楷体"/>
          <w:b/>
          <w:sz w:val="28"/>
          <w:szCs w:val="28"/>
        </w:rPr>
        <w:t>3</w:t>
      </w:r>
      <w:r>
        <w:rPr>
          <w:rFonts w:ascii="楷体" w:hAnsi="楷体" w:eastAsia="楷体" w:cs="宋体"/>
          <w:b/>
          <w:sz w:val="28"/>
          <w:szCs w:val="28"/>
        </w:rPr>
        <w:t>.1</w:t>
      </w:r>
      <w:bookmarkEnd w:id="171"/>
      <w:bookmarkEnd w:id="172"/>
      <w:bookmarkEnd w:id="173"/>
      <w:bookmarkEnd w:id="174"/>
      <w:bookmarkEnd w:id="175"/>
      <w:bookmarkEnd w:id="176"/>
      <w:bookmarkEnd w:id="177"/>
      <w:bookmarkEnd w:id="178"/>
      <w:bookmarkEnd w:id="179"/>
      <w:r>
        <w:rPr>
          <w:rFonts w:hint="eastAsia" w:ascii="楷体" w:hAnsi="楷体" w:eastAsia="楷体" w:cs="宋体"/>
          <w:b/>
          <w:sz w:val="28"/>
          <w:szCs w:val="28"/>
        </w:rPr>
        <w:t>投标文件的组成</w:t>
      </w:r>
      <w:bookmarkEnd w:id="180"/>
    </w:p>
    <w:p w14:paraId="4B889727">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投标文件的组成：见供应商须知前附表。</w:t>
      </w:r>
    </w:p>
    <w:p w14:paraId="302B14D1">
      <w:pPr>
        <w:adjustRightInd w:val="0"/>
        <w:snapToGrid w:val="0"/>
        <w:spacing w:line="490" w:lineRule="exact"/>
        <w:rPr>
          <w:rFonts w:ascii="楷体" w:hAnsi="楷体" w:eastAsia="楷体" w:cs="宋体"/>
          <w:b/>
          <w:sz w:val="28"/>
          <w:szCs w:val="28"/>
        </w:rPr>
      </w:pPr>
      <w:bookmarkStart w:id="181" w:name="_Toc367785004"/>
      <w:bookmarkStart w:id="182" w:name="_Toc426469889"/>
      <w:r>
        <w:rPr>
          <w:rFonts w:ascii="楷体" w:hAnsi="楷体" w:eastAsia="楷体" w:cs="宋体"/>
          <w:b/>
          <w:sz w:val="28"/>
          <w:szCs w:val="28"/>
        </w:rPr>
        <w:t>3.2</w:t>
      </w:r>
      <w:bookmarkEnd w:id="181"/>
      <w:r>
        <w:rPr>
          <w:rFonts w:hint="eastAsia" w:ascii="楷体" w:hAnsi="楷体" w:eastAsia="楷体" w:cs="宋体"/>
          <w:b/>
          <w:sz w:val="28"/>
          <w:szCs w:val="28"/>
        </w:rPr>
        <w:t>投标报价</w:t>
      </w:r>
      <w:bookmarkEnd w:id="182"/>
    </w:p>
    <w:p w14:paraId="606B0C5A">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3.2.1</w:t>
      </w:r>
      <w:r>
        <w:rPr>
          <w:rFonts w:hint="eastAsia" w:ascii="宋体" w:hAnsi="宋体" w:cs="宋体"/>
          <w:sz w:val="28"/>
          <w:szCs w:val="28"/>
        </w:rPr>
        <w:t>供应商应按招标文件规定的供货及服务要求、责任范围和合同条件，以人民币进行报价。</w:t>
      </w:r>
    </w:p>
    <w:p w14:paraId="060EC8EA">
      <w:pPr>
        <w:adjustRightInd w:val="0"/>
        <w:snapToGrid w:val="0"/>
        <w:spacing w:line="490" w:lineRule="exact"/>
        <w:ind w:firstLine="560" w:firstLineChars="200"/>
        <w:rPr>
          <w:rFonts w:ascii="宋体" w:hAnsi="宋体"/>
          <w:sz w:val="28"/>
          <w:szCs w:val="28"/>
        </w:rPr>
      </w:pPr>
      <w:r>
        <w:rPr>
          <w:rFonts w:ascii="宋体" w:hAnsi="宋体"/>
          <w:sz w:val="28"/>
          <w:szCs w:val="28"/>
        </w:rPr>
        <w:t>3.2.2供应商在投标文件中只能有一个投标报价，且</w:t>
      </w:r>
      <w:r>
        <w:rPr>
          <w:rFonts w:hint="eastAsia" w:ascii="宋体" w:hAnsi="宋体" w:cs="宋体"/>
          <w:sz w:val="28"/>
          <w:szCs w:val="28"/>
        </w:rPr>
        <w:t>不得超过招标公告中载明的最高限价。任何包含价格调整要求和条件的投标报价均将视为无效报价。</w:t>
      </w:r>
    </w:p>
    <w:p w14:paraId="3BAA33E9">
      <w:pPr>
        <w:adjustRightInd w:val="0"/>
        <w:snapToGrid w:val="0"/>
        <w:spacing w:line="490" w:lineRule="exact"/>
        <w:rPr>
          <w:rFonts w:ascii="楷体" w:hAnsi="楷体" w:eastAsia="楷体"/>
          <w:b/>
          <w:sz w:val="28"/>
          <w:szCs w:val="28"/>
        </w:rPr>
      </w:pPr>
      <w:bookmarkStart w:id="183" w:name="_Toc343525525"/>
      <w:bookmarkStart w:id="184" w:name="_Toc246996194"/>
      <w:bookmarkStart w:id="185" w:name="_Toc152042325"/>
      <w:bookmarkStart w:id="186" w:name="_Toc426469890"/>
      <w:bookmarkStart w:id="187" w:name="_Toc144974517"/>
      <w:bookmarkStart w:id="188" w:name="_Toc179632567"/>
      <w:bookmarkStart w:id="189" w:name="_Toc152045549"/>
      <w:bookmarkStart w:id="190" w:name="_Toc383438612"/>
      <w:bookmarkStart w:id="191" w:name="_Toc247085708"/>
      <w:bookmarkStart w:id="192" w:name="_Toc246996937"/>
      <w:r>
        <w:rPr>
          <w:rFonts w:ascii="楷体" w:hAnsi="楷体" w:eastAsia="楷体"/>
          <w:b/>
          <w:sz w:val="28"/>
          <w:szCs w:val="28"/>
        </w:rPr>
        <w:t>3.3</w:t>
      </w:r>
      <w:r>
        <w:rPr>
          <w:rFonts w:hint="eastAsia" w:ascii="楷体" w:hAnsi="楷体" w:eastAsia="楷体" w:cs="宋体"/>
          <w:b/>
          <w:sz w:val="28"/>
          <w:szCs w:val="28"/>
        </w:rPr>
        <w:t>投标有效期</w:t>
      </w:r>
      <w:bookmarkEnd w:id="183"/>
      <w:bookmarkEnd w:id="184"/>
      <w:bookmarkEnd w:id="185"/>
      <w:bookmarkEnd w:id="186"/>
      <w:bookmarkEnd w:id="187"/>
      <w:bookmarkEnd w:id="188"/>
      <w:bookmarkEnd w:id="189"/>
      <w:bookmarkEnd w:id="190"/>
      <w:bookmarkEnd w:id="191"/>
      <w:bookmarkEnd w:id="192"/>
    </w:p>
    <w:p w14:paraId="76D5E24C">
      <w:pPr>
        <w:adjustRightInd w:val="0"/>
        <w:snapToGrid w:val="0"/>
        <w:spacing w:line="490" w:lineRule="exact"/>
        <w:ind w:firstLine="560" w:firstLineChars="200"/>
        <w:rPr>
          <w:rFonts w:ascii="宋体"/>
          <w:sz w:val="28"/>
          <w:szCs w:val="28"/>
        </w:rPr>
      </w:pPr>
      <w:r>
        <w:rPr>
          <w:rFonts w:ascii="宋体" w:hAnsi="宋体"/>
          <w:sz w:val="28"/>
          <w:szCs w:val="28"/>
        </w:rPr>
        <w:t>3.3.1在</w:t>
      </w:r>
      <w:r>
        <w:rPr>
          <w:rFonts w:hint="eastAsia" w:ascii="宋体" w:hAnsi="宋体" w:cs="宋体"/>
          <w:sz w:val="28"/>
          <w:szCs w:val="28"/>
        </w:rPr>
        <w:t>供应商须知前附表规定的投标有效期内，供应商不得要求撤销或修改其投标文件。</w:t>
      </w:r>
    </w:p>
    <w:p w14:paraId="01CCFDCB">
      <w:pPr>
        <w:adjustRightInd w:val="0"/>
        <w:snapToGrid w:val="0"/>
        <w:spacing w:line="490" w:lineRule="exact"/>
        <w:ind w:firstLine="560" w:firstLineChars="200"/>
        <w:rPr>
          <w:rFonts w:ascii="宋体"/>
          <w:sz w:val="28"/>
          <w:szCs w:val="28"/>
        </w:rPr>
      </w:pPr>
      <w:r>
        <w:rPr>
          <w:rFonts w:ascii="宋体" w:hAnsi="宋体"/>
          <w:sz w:val="28"/>
          <w:szCs w:val="28"/>
        </w:rPr>
        <w:t>3.3.2</w:t>
      </w:r>
      <w:r>
        <w:rPr>
          <w:rFonts w:hint="eastAsia" w:ascii="宋体" w:hAnsi="宋体" w:cs="宋体"/>
          <w:sz w:val="28"/>
          <w:szCs w:val="28"/>
        </w:rPr>
        <w:t>出现特殊情况需要延长投标有效期的，招标人将以书面形式通知供应商。供应商拒绝延长投标有效期的，其投标失效。</w:t>
      </w:r>
    </w:p>
    <w:p w14:paraId="5DB96EA0">
      <w:pPr>
        <w:adjustRightInd w:val="0"/>
        <w:snapToGrid w:val="0"/>
        <w:spacing w:line="490" w:lineRule="exact"/>
        <w:rPr>
          <w:rFonts w:ascii="楷体" w:hAnsi="楷体" w:eastAsia="楷体"/>
          <w:b/>
          <w:sz w:val="28"/>
          <w:szCs w:val="28"/>
        </w:rPr>
      </w:pPr>
      <w:bookmarkStart w:id="193" w:name="_Toc426469892"/>
      <w:r>
        <w:rPr>
          <w:rFonts w:ascii="楷体" w:hAnsi="楷体" w:eastAsia="楷体"/>
          <w:b/>
          <w:sz w:val="28"/>
          <w:szCs w:val="28"/>
        </w:rPr>
        <w:t>3.4</w:t>
      </w:r>
      <w:r>
        <w:rPr>
          <w:rFonts w:hint="eastAsia" w:ascii="楷体" w:hAnsi="楷体" w:eastAsia="楷体" w:cs="宋体"/>
          <w:b/>
          <w:sz w:val="28"/>
          <w:szCs w:val="28"/>
        </w:rPr>
        <w:t>投标文件的编制</w:t>
      </w:r>
      <w:bookmarkEnd w:id="193"/>
    </w:p>
    <w:p w14:paraId="1DA213CA">
      <w:pPr>
        <w:adjustRightInd w:val="0"/>
        <w:snapToGrid w:val="0"/>
        <w:spacing w:line="490" w:lineRule="exact"/>
        <w:ind w:firstLine="560" w:firstLineChars="200"/>
        <w:rPr>
          <w:rFonts w:ascii="宋体"/>
          <w:sz w:val="28"/>
          <w:szCs w:val="28"/>
        </w:rPr>
      </w:pPr>
      <w:r>
        <w:rPr>
          <w:rFonts w:ascii="宋体" w:hAnsi="宋体"/>
          <w:sz w:val="28"/>
          <w:szCs w:val="28"/>
        </w:rPr>
        <w:t>3.4.1</w:t>
      </w:r>
      <w:r>
        <w:rPr>
          <w:rFonts w:hint="eastAsia" w:ascii="宋体" w:hAnsi="宋体" w:cs="宋体"/>
          <w:sz w:val="28"/>
          <w:szCs w:val="28"/>
        </w:rPr>
        <w:t>供应商可以按照第六章</w:t>
      </w:r>
      <w:r>
        <w:rPr>
          <w:rFonts w:hint="eastAsia" w:ascii="宋体" w:hAnsi="宋体"/>
          <w:sz w:val="28"/>
          <w:szCs w:val="28"/>
        </w:rPr>
        <w:t>“</w:t>
      </w:r>
      <w:r>
        <w:rPr>
          <w:rFonts w:hint="eastAsia" w:ascii="宋体" w:hAnsi="宋体" w:cs="宋体"/>
          <w:sz w:val="28"/>
          <w:szCs w:val="28"/>
        </w:rPr>
        <w:t>投标文件的编制要求及参考格式</w:t>
      </w:r>
      <w:r>
        <w:rPr>
          <w:rFonts w:hint="eastAsia" w:ascii="宋体" w:hAnsi="宋体"/>
          <w:sz w:val="28"/>
          <w:szCs w:val="28"/>
        </w:rPr>
        <w:t>”</w:t>
      </w:r>
      <w:r>
        <w:rPr>
          <w:rFonts w:hint="eastAsia" w:ascii="宋体" w:hAnsi="宋体" w:cs="宋体"/>
          <w:sz w:val="28"/>
          <w:szCs w:val="28"/>
        </w:rPr>
        <w:t>要求编制投标文件。需另行增加的相关内容和材料应编入投标文件相应章节，作为投标文件的组成部分。</w:t>
      </w:r>
    </w:p>
    <w:p w14:paraId="18713DCE">
      <w:pPr>
        <w:adjustRightInd w:val="0"/>
        <w:snapToGrid w:val="0"/>
        <w:spacing w:line="490" w:lineRule="exact"/>
        <w:ind w:firstLine="560" w:firstLineChars="200"/>
        <w:rPr>
          <w:rFonts w:ascii="宋体" w:hAnsi="宋体"/>
          <w:sz w:val="28"/>
          <w:szCs w:val="28"/>
        </w:rPr>
      </w:pPr>
      <w:r>
        <w:rPr>
          <w:rFonts w:ascii="宋体" w:hAnsi="宋体"/>
          <w:sz w:val="28"/>
          <w:szCs w:val="28"/>
        </w:rPr>
        <w:t>3.4.2供应商应对招标文件中的资格要求、</w:t>
      </w:r>
      <w:r>
        <w:rPr>
          <w:rFonts w:hint="eastAsia" w:ascii="宋体" w:hAnsi="宋体" w:cs="宋体"/>
          <w:sz w:val="28"/>
          <w:szCs w:val="28"/>
        </w:rPr>
        <w:t>合同履行期限、投标有效期、技术、服务标准和要求等实质性内容作出响应，并根据评审因素提供相应的证明材料。</w:t>
      </w:r>
    </w:p>
    <w:p w14:paraId="6FD8B073">
      <w:pPr>
        <w:adjustRightInd w:val="0"/>
        <w:snapToGrid w:val="0"/>
        <w:spacing w:line="490" w:lineRule="exact"/>
        <w:ind w:firstLine="560" w:firstLineChars="200"/>
        <w:rPr>
          <w:rFonts w:ascii="宋体" w:hAnsi="宋体"/>
          <w:sz w:val="28"/>
          <w:szCs w:val="28"/>
        </w:rPr>
      </w:pPr>
      <w:r>
        <w:rPr>
          <w:rFonts w:hint="eastAsia" w:ascii="宋体" w:hAnsi="宋体"/>
          <w:sz w:val="28"/>
          <w:szCs w:val="28"/>
        </w:rPr>
        <w:t>3.4.3 投标文件的数量：见供应商须知前附表</w:t>
      </w:r>
    </w:p>
    <w:p w14:paraId="4A47CA1D">
      <w:pPr>
        <w:adjustRightInd w:val="0"/>
        <w:snapToGrid w:val="0"/>
        <w:spacing w:line="490" w:lineRule="exact"/>
        <w:ind w:firstLine="560" w:firstLineChars="200"/>
        <w:rPr>
          <w:rFonts w:ascii="宋体" w:hAnsi="宋体"/>
          <w:sz w:val="28"/>
          <w:szCs w:val="28"/>
        </w:rPr>
      </w:pPr>
      <w:bookmarkStart w:id="194" w:name="_Toc426469894"/>
      <w:bookmarkStart w:id="195" w:name="_Toc367785016"/>
      <w:r>
        <w:rPr>
          <w:rFonts w:hint="eastAsia" w:ascii="宋体" w:hAnsi="宋体"/>
          <w:sz w:val="28"/>
          <w:szCs w:val="28"/>
        </w:rPr>
        <w:t>3.4.4投标文件的签署：见供应商须知前附表</w:t>
      </w:r>
    </w:p>
    <w:bookmarkEnd w:id="66"/>
    <w:bookmarkEnd w:id="194"/>
    <w:bookmarkEnd w:id="195"/>
    <w:p w14:paraId="725B25FF">
      <w:pPr>
        <w:adjustRightInd w:val="0"/>
        <w:snapToGrid w:val="0"/>
        <w:spacing w:line="490" w:lineRule="exact"/>
        <w:rPr>
          <w:rFonts w:ascii="黑体" w:hAnsi="黑体" w:eastAsia="黑体"/>
          <w:sz w:val="32"/>
          <w:szCs w:val="32"/>
        </w:rPr>
      </w:pPr>
      <w:bookmarkStart w:id="196" w:name="_Toc390099019"/>
      <w:bookmarkStart w:id="197" w:name="_Toc179632605"/>
      <w:bookmarkStart w:id="198" w:name="_Toc383698648"/>
      <w:bookmarkStart w:id="199" w:name="_Toc152042364"/>
      <w:bookmarkStart w:id="200" w:name="_Toc343525562"/>
      <w:bookmarkStart w:id="201" w:name="_Toc383438646"/>
      <w:bookmarkStart w:id="202" w:name="_Toc383587457"/>
      <w:bookmarkStart w:id="203" w:name="_Toc390246906"/>
      <w:bookmarkStart w:id="204" w:name="_Toc383625994"/>
      <w:bookmarkStart w:id="205" w:name="_Toc152045587"/>
      <w:bookmarkStart w:id="206" w:name="_Toc144974554"/>
      <w:bookmarkStart w:id="207" w:name="_Toc390098841"/>
      <w:bookmarkStart w:id="208" w:name="_Toc383679747"/>
      <w:bookmarkStart w:id="209" w:name="_Toc383623945"/>
      <w:bookmarkStart w:id="210" w:name="_Toc383623673"/>
      <w:bookmarkStart w:id="211" w:name="_Toc246996230"/>
      <w:bookmarkStart w:id="212" w:name="_Toc246996973"/>
      <w:bookmarkStart w:id="213" w:name="_Toc247085745"/>
      <w:r>
        <w:rPr>
          <w:rFonts w:ascii="黑体" w:hAnsi="黑体" w:eastAsia="黑体"/>
          <w:sz w:val="32"/>
          <w:szCs w:val="32"/>
        </w:rPr>
        <w:t>4.</w:t>
      </w:r>
      <w:r>
        <w:rPr>
          <w:rFonts w:hint="eastAsia" w:ascii="黑体" w:hAnsi="黑体" w:eastAsia="黑体" w:cs="宋体"/>
          <w:sz w:val="32"/>
          <w:szCs w:val="32"/>
        </w:rPr>
        <w:t>投标</w:t>
      </w:r>
    </w:p>
    <w:p w14:paraId="2226FCAB">
      <w:pPr>
        <w:adjustRightInd w:val="0"/>
        <w:snapToGrid w:val="0"/>
        <w:spacing w:line="490" w:lineRule="exact"/>
        <w:rPr>
          <w:rFonts w:ascii="楷体" w:hAnsi="楷体" w:eastAsia="楷体" w:cs="宋体"/>
          <w:b/>
          <w:bCs/>
          <w:sz w:val="28"/>
          <w:szCs w:val="28"/>
        </w:rPr>
      </w:pPr>
      <w:r>
        <w:rPr>
          <w:rFonts w:ascii="楷体" w:hAnsi="楷体" w:eastAsia="楷体"/>
          <w:b/>
          <w:sz w:val="28"/>
          <w:szCs w:val="28"/>
        </w:rPr>
        <w:t>4.1</w:t>
      </w:r>
      <w:r>
        <w:rPr>
          <w:rFonts w:hint="eastAsia" w:ascii="楷体" w:hAnsi="楷体" w:eastAsia="楷体" w:cs="宋体"/>
          <w:b/>
          <w:bCs/>
          <w:sz w:val="28"/>
          <w:szCs w:val="28"/>
        </w:rPr>
        <w:t>投标文件的上传</w:t>
      </w:r>
    </w:p>
    <w:p w14:paraId="3A7F57F4">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供应商应充分考虑</w:t>
      </w:r>
      <w:r>
        <w:rPr>
          <w:rFonts w:ascii="宋体" w:hAnsi="宋体" w:cs="宋体"/>
          <w:sz w:val="28"/>
          <w:szCs w:val="28"/>
        </w:rPr>
        <w:t>网络及系统平台可能存在的非正常情况等</w:t>
      </w:r>
      <w:r>
        <w:rPr>
          <w:rFonts w:hint="eastAsia" w:ascii="宋体" w:hAnsi="宋体" w:cs="宋体"/>
          <w:sz w:val="28"/>
          <w:szCs w:val="28"/>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5513ABDF">
      <w:pPr>
        <w:adjustRightInd w:val="0"/>
        <w:snapToGrid w:val="0"/>
        <w:spacing w:line="490" w:lineRule="exact"/>
        <w:rPr>
          <w:rFonts w:ascii="楷体" w:hAnsi="楷体" w:eastAsia="楷体" w:cs="宋体"/>
          <w:b/>
          <w:sz w:val="28"/>
          <w:szCs w:val="28"/>
        </w:rPr>
      </w:pPr>
      <w:r>
        <w:rPr>
          <w:rFonts w:ascii="楷体" w:hAnsi="楷体" w:eastAsia="楷体" w:cs="宋体"/>
          <w:b/>
          <w:sz w:val="28"/>
          <w:szCs w:val="28"/>
        </w:rPr>
        <w:t>4.2</w:t>
      </w:r>
      <w:r>
        <w:rPr>
          <w:rFonts w:hint="eastAsia" w:ascii="楷体" w:hAnsi="楷体" w:eastAsia="楷体" w:cs="宋体"/>
          <w:b/>
          <w:sz w:val="28"/>
          <w:szCs w:val="28"/>
        </w:rPr>
        <w:t>投标文件的修改与撤回</w:t>
      </w:r>
    </w:p>
    <w:p w14:paraId="39CA0B7A">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4.2.1</w:t>
      </w:r>
      <w:r>
        <w:rPr>
          <w:rFonts w:hint="eastAsia" w:ascii="宋体" w:hAnsi="宋体" w:cs="宋体"/>
          <w:sz w:val="28"/>
          <w:szCs w:val="28"/>
        </w:rPr>
        <w:t>在投标截止时间前，供应商可以修改或撤回已递交的投标文件。具体操作方法见《江苏省政府采购管理交易系统（苏采云）供应商操作手册》。</w:t>
      </w:r>
    </w:p>
    <w:p w14:paraId="7C64F8BF">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4.2.2</w:t>
      </w:r>
      <w:r>
        <w:rPr>
          <w:rFonts w:hint="eastAsia" w:ascii="宋体" w:hAnsi="宋体" w:cs="宋体"/>
          <w:sz w:val="28"/>
          <w:szCs w:val="28"/>
        </w:rPr>
        <w:t>修改的投标文件应按照本招标文件规定进行编制和重新上传。</w:t>
      </w:r>
    </w:p>
    <w:p w14:paraId="397C09C1">
      <w:pPr>
        <w:adjustRightInd w:val="0"/>
        <w:snapToGrid w:val="0"/>
        <w:spacing w:line="490" w:lineRule="exact"/>
        <w:rPr>
          <w:rFonts w:ascii="楷体" w:hAnsi="楷体" w:eastAsia="楷体" w:cs="宋体"/>
          <w:b/>
          <w:sz w:val="28"/>
          <w:szCs w:val="28"/>
        </w:rPr>
      </w:pPr>
      <w:r>
        <w:rPr>
          <w:rFonts w:hint="eastAsia" w:ascii="楷体" w:hAnsi="楷体" w:eastAsia="楷体" w:cs="宋体"/>
          <w:b/>
          <w:sz w:val="28"/>
          <w:szCs w:val="28"/>
        </w:rPr>
        <w:t>4.3投标文件的确认</w:t>
      </w:r>
    </w:p>
    <w:p w14:paraId="5E76909E">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供应商可以通过江苏省政府采购管理交易系统（苏采云）多次上传投标文件，以招标文件规定的投标截止时间前，江苏省政府采购管理交易系统（苏采云）接受到的最后一份投标文件为准。</w:t>
      </w:r>
    </w:p>
    <w:p w14:paraId="77E37EE4">
      <w:pPr>
        <w:adjustRightInd w:val="0"/>
        <w:snapToGrid w:val="0"/>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开标</w:t>
      </w:r>
    </w:p>
    <w:p w14:paraId="484A01FF">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开标时间和地点</w:t>
      </w:r>
    </w:p>
    <w:p w14:paraId="58B7296D">
      <w:pPr>
        <w:adjustRightInd w:val="0"/>
        <w:snapToGrid w:val="0"/>
        <w:spacing w:line="490" w:lineRule="exact"/>
        <w:ind w:firstLine="560" w:firstLineChars="200"/>
        <w:rPr>
          <w:rFonts w:ascii="宋体"/>
          <w:sz w:val="28"/>
          <w:szCs w:val="28"/>
        </w:rPr>
      </w:pPr>
      <w:r>
        <w:rPr>
          <w:rFonts w:ascii="宋体" w:hAnsi="宋体"/>
          <w:sz w:val="28"/>
          <w:szCs w:val="28"/>
        </w:rPr>
        <w:t>5.1.1</w:t>
      </w:r>
      <w:r>
        <w:rPr>
          <w:rFonts w:hint="eastAsia" w:ascii="宋体" w:hAnsi="宋体" w:cs="宋体"/>
          <w:sz w:val="28"/>
          <w:szCs w:val="28"/>
        </w:rPr>
        <w:t>开标时间和地点：见供应商须知前附表。</w:t>
      </w:r>
    </w:p>
    <w:p w14:paraId="21F6DA59">
      <w:pPr>
        <w:adjustRightInd w:val="0"/>
        <w:snapToGrid w:val="0"/>
        <w:spacing w:line="490" w:lineRule="exact"/>
        <w:ind w:firstLine="560" w:firstLineChars="200"/>
        <w:rPr>
          <w:rFonts w:ascii="宋体" w:hAnsi="宋体" w:cs="宋体"/>
          <w:sz w:val="28"/>
          <w:szCs w:val="28"/>
        </w:rPr>
      </w:pPr>
      <w:r>
        <w:rPr>
          <w:rFonts w:ascii="宋体" w:hAnsi="宋体" w:cs="宋体"/>
          <w:sz w:val="28"/>
          <w:szCs w:val="28"/>
        </w:rPr>
        <w:t>5.1.2</w:t>
      </w:r>
      <w:r>
        <w:rPr>
          <w:rFonts w:hint="eastAsia" w:ascii="宋体" w:hAnsi="宋体" w:cs="宋体"/>
          <w:sz w:val="28"/>
          <w:szCs w:val="28"/>
        </w:rPr>
        <w:t>开标活动在江苏政府采购“苏采云”系统“开标大厅”内公开进行，供应商应当按照《江苏省政府采购管理交易系统（苏采云）供应商操作手册》规定，参加开标活动。</w:t>
      </w:r>
    </w:p>
    <w:p w14:paraId="45E10871">
      <w:pPr>
        <w:adjustRightInd w:val="0"/>
        <w:snapToGrid w:val="0"/>
        <w:spacing w:line="490" w:lineRule="exact"/>
        <w:rPr>
          <w:rFonts w:ascii="楷体" w:hAnsi="楷体" w:eastAsia="楷体"/>
          <w:b/>
          <w:sz w:val="28"/>
          <w:szCs w:val="28"/>
        </w:rPr>
      </w:pPr>
      <w:r>
        <w:rPr>
          <w:rFonts w:ascii="楷体" w:hAnsi="楷体" w:eastAsia="楷体"/>
          <w:b/>
          <w:sz w:val="28"/>
          <w:szCs w:val="28"/>
        </w:rPr>
        <w:t>5.2 不见面</w:t>
      </w:r>
      <w:r>
        <w:rPr>
          <w:rFonts w:hint="eastAsia" w:ascii="楷体" w:hAnsi="楷体" w:eastAsia="楷体" w:cs="宋体"/>
          <w:b/>
          <w:sz w:val="28"/>
          <w:szCs w:val="28"/>
        </w:rPr>
        <w:t>开标程序</w:t>
      </w:r>
    </w:p>
    <w:p w14:paraId="17509251">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（1）系统登录。供应商应在投标截止时间前登录开标大厅。</w:t>
      </w:r>
    </w:p>
    <w:p w14:paraId="43EE16D8">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（2）供应商解密投标文件。按照系统内提示，在规定的时间内完成投标文件的解密。</w:t>
      </w:r>
    </w:p>
    <w:p w14:paraId="09C6CF5E">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（3）唱标。</w:t>
      </w:r>
    </w:p>
    <w:p w14:paraId="379C1169">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（4）开标记录确认。</w:t>
      </w:r>
    </w:p>
    <w:p w14:paraId="774B71B4">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（5）开标结束。</w:t>
      </w:r>
    </w:p>
    <w:p w14:paraId="79DAB009">
      <w:pPr>
        <w:adjustRightInd w:val="0"/>
        <w:snapToGrid w:val="0"/>
        <w:spacing w:line="490" w:lineRule="exact"/>
        <w:rPr>
          <w:rFonts w:ascii="楷体" w:hAnsi="楷体" w:eastAsia="楷体"/>
          <w:b/>
          <w:sz w:val="28"/>
          <w:szCs w:val="28"/>
        </w:rPr>
      </w:pPr>
      <w:r>
        <w:rPr>
          <w:rFonts w:hint="eastAsia" w:ascii="楷体" w:hAnsi="楷体" w:eastAsia="楷体"/>
          <w:b/>
          <w:sz w:val="28"/>
          <w:szCs w:val="28"/>
        </w:rPr>
        <w:t>5.3特殊情况的处置</w:t>
      </w:r>
    </w:p>
    <w:p w14:paraId="738F6A46">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5.3.1在投标截止时间后，开标系统出现下列情况之一时，项目未开标的，暂停开标活动；正在开标的，立即暂停开标，待系统恢复正常后再组织开标。</w:t>
      </w:r>
    </w:p>
    <w:p w14:paraId="7EEC18D8">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p>
    <w:p w14:paraId="72748FFD">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p>
    <w:p w14:paraId="6BEB21B1">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p>
    <w:p w14:paraId="25B00013">
      <w:pPr>
        <w:adjustRightInd w:val="0"/>
        <w:snapToGrid w:val="0"/>
        <w:spacing w:line="490" w:lineRule="exact"/>
        <w:ind w:firstLine="560" w:firstLineChars="200"/>
        <w:rPr>
          <w:rFonts w:cs="宋体" w:asciiTheme="minorEastAsia" w:hAnsiTheme="minorEastAsia" w:eastAsiaTheme="minorEastAsia"/>
          <w:sz w:val="28"/>
          <w:szCs w:val="28"/>
        </w:rPr>
      </w:pPr>
      <w:r>
        <w:rPr>
          <w:rFonts w:cs="宋体" w:asciiTheme="minorEastAsia" w:hAnsiTheme="minorEastAsia" w:eastAsiaTheme="minorEastAsia"/>
          <w:sz w:val="28"/>
          <w:szCs w:val="28"/>
        </w:rPr>
        <w:t>（4）其他无法保证招投标过程公平和信息安全的情形。</w:t>
      </w:r>
    </w:p>
    <w:p w14:paraId="02999658">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5.3.2因供应商自身原因造成投标文件无法解密的，视为撤销投标文件。</w:t>
      </w:r>
    </w:p>
    <w:p w14:paraId="568D52F9">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5.3.3供应商对开标过程和开标记录有疑义的，可向招标人或者采购代理机构提出。</w:t>
      </w:r>
    </w:p>
    <w:p w14:paraId="2B4C8FC9">
      <w:pPr>
        <w:adjustRightInd w:val="0"/>
        <w:snapToGrid w:val="0"/>
        <w:spacing w:line="49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5.3.4供应商未在开标系统中确认开标结果的，视同认可开标结果。</w:t>
      </w:r>
    </w:p>
    <w:p w14:paraId="4E57E135">
      <w:pPr>
        <w:adjustRightInd w:val="0"/>
        <w:snapToGrid w:val="0"/>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评标</w:t>
      </w:r>
    </w:p>
    <w:p w14:paraId="604B997B">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评标委员会</w:t>
      </w:r>
    </w:p>
    <w:p w14:paraId="26A00606">
      <w:pPr>
        <w:adjustRightInd w:val="0"/>
        <w:snapToGrid w:val="0"/>
        <w:spacing w:line="490" w:lineRule="exact"/>
        <w:ind w:firstLine="560" w:firstLineChars="200"/>
        <w:rPr>
          <w:rFonts w:ascii="宋体"/>
          <w:sz w:val="28"/>
          <w:szCs w:val="28"/>
        </w:rPr>
      </w:pPr>
      <w:r>
        <w:rPr>
          <w:rFonts w:ascii="宋体" w:hAnsi="宋体"/>
          <w:sz w:val="28"/>
          <w:szCs w:val="28"/>
        </w:rPr>
        <w:t>6.1.1</w:t>
      </w:r>
      <w:r>
        <w:rPr>
          <w:rFonts w:hint="eastAsia" w:ascii="宋体" w:hAnsi="宋体" w:cs="宋体"/>
          <w:sz w:val="28"/>
          <w:szCs w:val="28"/>
        </w:rPr>
        <w:t>评标由招标人依法组建的评标委员会负责。评标委员会由招标人代表，以及有关技术、经济等方面的专家组成。具体人数见供应商须知前附表。</w:t>
      </w:r>
    </w:p>
    <w:p w14:paraId="0D3B1CE5">
      <w:pPr>
        <w:adjustRightInd w:val="0"/>
        <w:snapToGrid w:val="0"/>
        <w:spacing w:line="490" w:lineRule="exact"/>
        <w:ind w:firstLine="560" w:firstLineChars="200"/>
        <w:rPr>
          <w:rFonts w:ascii="宋体"/>
          <w:sz w:val="28"/>
          <w:szCs w:val="28"/>
        </w:rPr>
      </w:pPr>
      <w:r>
        <w:rPr>
          <w:rFonts w:ascii="宋体" w:hAnsi="宋体"/>
          <w:sz w:val="28"/>
          <w:szCs w:val="28"/>
        </w:rPr>
        <w:t>6.1.2</w:t>
      </w:r>
      <w:r>
        <w:rPr>
          <w:rFonts w:hint="eastAsia" w:ascii="宋体" w:hAnsi="宋体" w:cs="宋体"/>
          <w:sz w:val="28"/>
          <w:szCs w:val="28"/>
        </w:rPr>
        <w:t>评标委员会成员有下列情形之一的，应当回避：</w:t>
      </w:r>
    </w:p>
    <w:p w14:paraId="4A6C196C">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w:t>
      </w:r>
      <w:r>
        <w:rPr>
          <w:rFonts w:ascii="宋体" w:hAnsi="宋体" w:cs="宋体"/>
          <w:sz w:val="28"/>
          <w:szCs w:val="28"/>
        </w:rPr>
        <w:t>参加采购活动前三年内,与供应商存在劳动关系,或者担任过供应商的董事、监事,或者是供应商的控股股东或实际控制人</w:t>
      </w:r>
      <w:r>
        <w:rPr>
          <w:rFonts w:hint="eastAsia" w:ascii="宋体" w:hAnsi="宋体" w:cs="宋体"/>
          <w:sz w:val="28"/>
          <w:szCs w:val="28"/>
        </w:rPr>
        <w:t>；</w:t>
      </w:r>
    </w:p>
    <w:p w14:paraId="38312FD3">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w:t>
      </w:r>
      <w:r>
        <w:rPr>
          <w:rFonts w:ascii="宋体" w:hAnsi="宋体" w:cs="宋体"/>
          <w:sz w:val="28"/>
          <w:szCs w:val="28"/>
        </w:rPr>
        <w:t>与供应商的法定代表人或者负责人有夫妻、直系血亲、三代以内旁系血亲或者近姻亲关系</w:t>
      </w:r>
      <w:r>
        <w:rPr>
          <w:rFonts w:hint="eastAsia" w:ascii="宋体" w:hAnsi="宋体" w:cs="宋体"/>
          <w:sz w:val="28"/>
          <w:szCs w:val="28"/>
        </w:rPr>
        <w:t>；</w:t>
      </w:r>
    </w:p>
    <w:p w14:paraId="03BFB143">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w:t>
      </w:r>
      <w:r>
        <w:rPr>
          <w:rFonts w:ascii="宋体" w:hAnsi="宋体" w:cs="宋体"/>
          <w:sz w:val="28"/>
          <w:szCs w:val="28"/>
        </w:rPr>
        <w:t>与供应商有其他可能影响政府采购活动公平、公正进行的关系</w:t>
      </w:r>
      <w:r>
        <w:rPr>
          <w:rFonts w:hint="eastAsia" w:ascii="宋体" w:hAnsi="宋体" w:cs="宋体"/>
          <w:sz w:val="28"/>
          <w:szCs w:val="28"/>
        </w:rPr>
        <w:t>；</w:t>
      </w:r>
    </w:p>
    <w:p w14:paraId="029DFC1D">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4</w:t>
      </w:r>
      <w:r>
        <w:rPr>
          <w:rFonts w:hint="eastAsia" w:ascii="宋体" w:hAnsi="宋体" w:cs="宋体"/>
          <w:sz w:val="28"/>
          <w:szCs w:val="28"/>
        </w:rPr>
        <w:t>）法律、行政法规规定的其他条件。</w:t>
      </w:r>
    </w:p>
    <w:p w14:paraId="7AFBB80A">
      <w:pPr>
        <w:adjustRightInd w:val="0"/>
        <w:snapToGrid w:val="0"/>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评标</w:t>
      </w:r>
    </w:p>
    <w:p w14:paraId="7C840EC5">
      <w:pPr>
        <w:spacing w:line="490" w:lineRule="exact"/>
        <w:ind w:firstLine="560" w:firstLineChars="200"/>
        <w:rPr>
          <w:rFonts w:ascii="宋体" w:hAnsi="宋体" w:cs="宋体"/>
          <w:sz w:val="28"/>
          <w:szCs w:val="28"/>
        </w:rPr>
      </w:pPr>
      <w:r>
        <w:rPr>
          <w:rFonts w:hint="eastAsia" w:ascii="宋体" w:hAnsi="宋体" w:cs="宋体"/>
          <w:sz w:val="28"/>
        </w:rPr>
        <w:t>评标活动遵循公正、客观、审慎的原则。</w:t>
      </w:r>
      <w:r>
        <w:rPr>
          <w:rFonts w:hint="eastAsia" w:ascii="宋体" w:hAnsi="宋体" w:cs="宋体"/>
          <w:sz w:val="28"/>
          <w:szCs w:val="28"/>
        </w:rPr>
        <w:t>评标委员会严格按照第三章</w:t>
      </w:r>
      <w:r>
        <w:rPr>
          <w:rFonts w:hint="eastAsia" w:ascii="宋体" w:hAnsi="宋体"/>
          <w:sz w:val="28"/>
          <w:szCs w:val="28"/>
        </w:rPr>
        <w:t>“</w:t>
      </w:r>
      <w:r>
        <w:rPr>
          <w:rFonts w:hint="eastAsia" w:ascii="宋体" w:hAnsi="宋体" w:cs="宋体"/>
          <w:sz w:val="28"/>
          <w:szCs w:val="28"/>
        </w:rPr>
        <w:t>评标办法</w:t>
      </w:r>
      <w:r>
        <w:rPr>
          <w:rFonts w:hint="eastAsia" w:ascii="宋体" w:hAnsi="宋体"/>
          <w:sz w:val="28"/>
          <w:szCs w:val="28"/>
        </w:rPr>
        <w:t>”</w:t>
      </w:r>
      <w:r>
        <w:rPr>
          <w:rFonts w:hint="eastAsia" w:ascii="宋体" w:hAnsi="宋体" w:cs="宋体"/>
          <w:sz w:val="28"/>
          <w:szCs w:val="28"/>
        </w:rPr>
        <w:t>规定的评标方法、评标程序和评标标准进行独立评审。第三章</w:t>
      </w:r>
      <w:r>
        <w:rPr>
          <w:rFonts w:hint="eastAsia" w:ascii="宋体" w:hAnsi="宋体"/>
          <w:sz w:val="28"/>
          <w:szCs w:val="28"/>
        </w:rPr>
        <w:t>“</w:t>
      </w:r>
      <w:r>
        <w:rPr>
          <w:rFonts w:hint="eastAsia" w:ascii="宋体" w:hAnsi="宋体" w:cs="宋体"/>
          <w:sz w:val="28"/>
          <w:szCs w:val="28"/>
        </w:rPr>
        <w:t>评标办法</w:t>
      </w:r>
      <w:r>
        <w:rPr>
          <w:rFonts w:hint="eastAsia" w:ascii="宋体" w:hAnsi="宋体"/>
          <w:sz w:val="28"/>
          <w:szCs w:val="28"/>
        </w:rPr>
        <w:t>”</w:t>
      </w:r>
      <w:r>
        <w:rPr>
          <w:rFonts w:hint="eastAsia" w:ascii="宋体" w:hAnsi="宋体" w:cs="宋体"/>
          <w:sz w:val="28"/>
          <w:szCs w:val="28"/>
        </w:rPr>
        <w:t>没有规定的评标标准，不得作为评标依据。</w:t>
      </w:r>
    </w:p>
    <w:p w14:paraId="3CBFD757">
      <w:pPr>
        <w:adjustRightInd w:val="0"/>
        <w:snapToGrid w:val="0"/>
        <w:spacing w:line="490" w:lineRule="exact"/>
        <w:rPr>
          <w:rFonts w:ascii="黑体" w:hAnsi="黑体" w:eastAsia="黑体"/>
          <w:sz w:val="32"/>
          <w:szCs w:val="32"/>
        </w:rPr>
      </w:pPr>
      <w:r>
        <w:rPr>
          <w:rFonts w:ascii="黑体" w:hAnsi="黑体" w:eastAsia="黑体"/>
          <w:sz w:val="32"/>
          <w:szCs w:val="32"/>
        </w:rPr>
        <w:t>7.</w:t>
      </w:r>
      <w:r>
        <w:rPr>
          <w:rFonts w:hint="eastAsia" w:ascii="黑体" w:hAnsi="黑体" w:eastAsia="黑体" w:cs="宋体"/>
          <w:sz w:val="32"/>
          <w:szCs w:val="32"/>
        </w:rPr>
        <w:t>中标</w:t>
      </w:r>
    </w:p>
    <w:p w14:paraId="4EDD1E33">
      <w:pPr>
        <w:adjustRightInd w:val="0"/>
        <w:snapToGrid w:val="0"/>
        <w:spacing w:line="490" w:lineRule="exact"/>
        <w:rPr>
          <w:rFonts w:ascii="楷体" w:hAnsi="楷体" w:eastAsia="楷体"/>
          <w:b/>
          <w:sz w:val="28"/>
          <w:szCs w:val="28"/>
        </w:rPr>
      </w:pPr>
      <w:r>
        <w:rPr>
          <w:rFonts w:ascii="楷体" w:hAnsi="楷体" w:eastAsia="楷体"/>
          <w:b/>
          <w:sz w:val="28"/>
          <w:szCs w:val="28"/>
        </w:rPr>
        <w:t>7.1</w:t>
      </w:r>
      <w:r>
        <w:rPr>
          <w:rFonts w:hint="eastAsia" w:ascii="楷体" w:hAnsi="楷体" w:eastAsia="楷体"/>
          <w:b/>
          <w:sz w:val="28"/>
          <w:szCs w:val="28"/>
        </w:rPr>
        <w:t>确定中标人</w:t>
      </w:r>
    </w:p>
    <w:p w14:paraId="52261FF4">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7.1.1自收到评标报告之日起５个工作日内，在评标报告确定的中标候选人名单中按顺序确定中标人。</w:t>
      </w:r>
    </w:p>
    <w:p w14:paraId="1E311DD2">
      <w:pPr>
        <w:adjustRightInd w:val="0"/>
        <w:snapToGrid w:val="0"/>
        <w:spacing w:line="490" w:lineRule="exact"/>
        <w:ind w:firstLine="560" w:firstLineChars="200"/>
        <w:rPr>
          <w:rFonts w:ascii="宋体"/>
          <w:sz w:val="28"/>
          <w:szCs w:val="28"/>
        </w:rPr>
      </w:pPr>
      <w:r>
        <w:rPr>
          <w:rFonts w:hint="eastAsia" w:ascii="宋体" w:hAnsi="宋体" w:cs="宋体"/>
          <w:sz w:val="28"/>
          <w:szCs w:val="28"/>
        </w:rPr>
        <w:t>7.1.2排名第一的中标候选人出现下列情形之一的，除合格供应商的数量不符合法定的要求外，招标人将按照评标委员会提出的中标候选人名单排序依次确定其他中标候选人为中标人。</w:t>
      </w:r>
    </w:p>
    <w:p w14:paraId="232A881A">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）因不可抗力或者自身原因不能履行合同的；</w:t>
      </w:r>
    </w:p>
    <w:p w14:paraId="5B380A48">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）经过财政部门处理投诉举报、监督检查，认定中标无效的；</w:t>
      </w:r>
    </w:p>
    <w:p w14:paraId="7B63BCD2">
      <w:pPr>
        <w:adjustRightInd w:val="0"/>
        <w:snapToGrid w:val="0"/>
        <w:spacing w:line="49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3</w:t>
      </w:r>
      <w:r>
        <w:rPr>
          <w:rFonts w:hint="eastAsia" w:ascii="宋体" w:hAnsi="宋体" w:cs="宋体"/>
          <w:sz w:val="28"/>
          <w:szCs w:val="28"/>
        </w:rPr>
        <w:t>）拒绝与招标人签订合同的。</w:t>
      </w:r>
    </w:p>
    <w:p w14:paraId="71E04BFC">
      <w:pPr>
        <w:adjustRightInd w:val="0"/>
        <w:snapToGrid w:val="0"/>
        <w:spacing w:line="490" w:lineRule="exact"/>
        <w:rPr>
          <w:rFonts w:ascii="楷体" w:hAnsi="楷体" w:eastAsia="楷体"/>
          <w:b/>
          <w:sz w:val="28"/>
          <w:szCs w:val="28"/>
        </w:rPr>
      </w:pPr>
      <w:r>
        <w:rPr>
          <w:rFonts w:ascii="楷体" w:hAnsi="楷体" w:eastAsia="楷体"/>
          <w:b/>
          <w:sz w:val="28"/>
          <w:szCs w:val="28"/>
        </w:rPr>
        <w:t>7.2</w:t>
      </w:r>
      <w:r>
        <w:rPr>
          <w:rFonts w:hint="eastAsia" w:ascii="楷体" w:hAnsi="楷体" w:eastAsia="楷体"/>
          <w:b/>
          <w:sz w:val="28"/>
          <w:szCs w:val="28"/>
        </w:rPr>
        <w:t>中标公告及中标通知书</w:t>
      </w:r>
    </w:p>
    <w:p w14:paraId="3688318C">
      <w:pPr>
        <w:adjustRightInd w:val="0"/>
        <w:snapToGrid w:val="0"/>
        <w:spacing w:line="490" w:lineRule="exact"/>
        <w:ind w:firstLine="560" w:firstLineChars="200"/>
        <w:rPr>
          <w:rFonts w:ascii="宋体" w:hAnsi="宋体" w:cs="宋体"/>
          <w:sz w:val="28"/>
          <w:szCs w:val="28"/>
        </w:rPr>
      </w:pPr>
      <w:r>
        <w:rPr>
          <w:rFonts w:hint="eastAsia" w:ascii="宋体" w:hAnsi="宋体" w:cs="宋体"/>
          <w:sz w:val="28"/>
          <w:szCs w:val="28"/>
        </w:rPr>
        <w:t>7.2.1自中标人确定之日起2个工作日内，在供应商须知前附表规定的媒介上公告中标结果，公告期限为1个工作日。</w:t>
      </w:r>
    </w:p>
    <w:p w14:paraId="67248ED0">
      <w:pPr>
        <w:adjustRightInd w:val="0"/>
        <w:snapToGrid w:val="0"/>
        <w:spacing w:line="490" w:lineRule="exact"/>
        <w:ind w:firstLine="560" w:firstLineChars="200"/>
        <w:rPr>
          <w:rFonts w:ascii="宋体" w:hAnsi="宋体"/>
          <w:sz w:val="28"/>
          <w:szCs w:val="28"/>
        </w:rPr>
      </w:pPr>
      <w:r>
        <w:rPr>
          <w:rFonts w:hint="eastAsia" w:ascii="宋体" w:hAnsi="宋体" w:cs="宋体"/>
          <w:sz w:val="28"/>
          <w:szCs w:val="28"/>
        </w:rPr>
        <w:t>7.2.2在公告中标结果的同时，向中标人发出中标通知书。中标通知书对招标人和中标人具有同等法律效力。</w:t>
      </w:r>
      <w:r>
        <w:rPr>
          <w:rFonts w:ascii="宋体" w:hAnsi="宋体"/>
          <w:sz w:val="28"/>
          <w:szCs w:val="28"/>
        </w:rPr>
        <w:t xml:space="preserve">  </w:t>
      </w:r>
    </w:p>
    <w:p w14:paraId="4CC7228F">
      <w:pPr>
        <w:adjustRightInd w:val="0"/>
        <w:snapToGrid w:val="0"/>
        <w:spacing w:line="490" w:lineRule="exact"/>
        <w:rPr>
          <w:rFonts w:ascii="黑体" w:hAnsi="黑体" w:eastAsia="黑体"/>
          <w:sz w:val="32"/>
          <w:szCs w:val="32"/>
        </w:rPr>
      </w:pPr>
      <w:r>
        <w:rPr>
          <w:rFonts w:ascii="黑体" w:hAnsi="黑体" w:eastAsia="黑体"/>
          <w:sz w:val="32"/>
          <w:szCs w:val="32"/>
        </w:rPr>
        <w:t>8.</w:t>
      </w:r>
      <w:r>
        <w:rPr>
          <w:rFonts w:hint="eastAsia" w:ascii="黑体" w:hAnsi="黑体" w:eastAsia="黑体" w:cs="宋体"/>
          <w:sz w:val="32"/>
          <w:szCs w:val="32"/>
        </w:rPr>
        <w:t>合同</w:t>
      </w:r>
    </w:p>
    <w:p w14:paraId="0EDA7128">
      <w:pPr>
        <w:adjustRightInd w:val="0"/>
        <w:snapToGrid w:val="0"/>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履约保证金</w:t>
      </w:r>
    </w:p>
    <w:p w14:paraId="75FBDC92">
      <w:pPr>
        <w:adjustRightInd w:val="0"/>
        <w:snapToGrid w:val="0"/>
        <w:spacing w:line="490" w:lineRule="exact"/>
        <w:ind w:firstLine="560" w:firstLineChars="200"/>
        <w:rPr>
          <w:rFonts w:ascii="宋体"/>
          <w:sz w:val="28"/>
          <w:szCs w:val="28"/>
        </w:rPr>
      </w:pPr>
      <w:r>
        <w:rPr>
          <w:rFonts w:ascii="宋体" w:hAnsi="宋体"/>
          <w:sz w:val="28"/>
          <w:szCs w:val="28"/>
        </w:rPr>
        <w:t>8.1.1</w:t>
      </w:r>
      <w:r>
        <w:rPr>
          <w:rFonts w:hint="eastAsia" w:ascii="宋体" w:hAnsi="宋体" w:cs="宋体"/>
          <w:sz w:val="28"/>
          <w:szCs w:val="28"/>
        </w:rPr>
        <w:t>中标人应按供应商须知前附表规定的履约保证金的形式、金额和提交时间向招标人提交履约保证金。</w:t>
      </w:r>
    </w:p>
    <w:p w14:paraId="1C4908E7">
      <w:pPr>
        <w:adjustRightInd w:val="0"/>
        <w:snapToGrid w:val="0"/>
        <w:spacing w:line="490" w:lineRule="exact"/>
        <w:ind w:firstLine="560" w:firstLineChars="200"/>
        <w:rPr>
          <w:rFonts w:ascii="楷体" w:hAnsi="楷体" w:eastAsia="楷体"/>
          <w:b/>
          <w:sz w:val="28"/>
          <w:szCs w:val="28"/>
        </w:rPr>
      </w:pPr>
      <w:r>
        <w:rPr>
          <w:rFonts w:ascii="宋体" w:hAnsi="宋体"/>
          <w:sz w:val="28"/>
          <w:szCs w:val="28"/>
        </w:rPr>
        <w:t>8.1.2</w:t>
      </w:r>
      <w:r>
        <w:rPr>
          <w:rFonts w:hint="eastAsia" w:ascii="宋体" w:hAnsi="宋体" w:cs="宋体"/>
          <w:sz w:val="28"/>
          <w:szCs w:val="28"/>
        </w:rPr>
        <w:t>中标人不能按本招标文件要求提交履约保证金的，视为放弃中标，给招标人造成损失的，中标人还应当予以赔偿。</w:t>
      </w:r>
    </w:p>
    <w:p w14:paraId="1A5FE1FC">
      <w:pPr>
        <w:adjustRightInd w:val="0"/>
        <w:snapToGrid w:val="0"/>
        <w:spacing w:line="490" w:lineRule="exact"/>
        <w:rPr>
          <w:rFonts w:ascii="楷体" w:hAnsi="楷体" w:eastAsia="楷体"/>
          <w:b/>
          <w:sz w:val="28"/>
          <w:szCs w:val="28"/>
        </w:rPr>
      </w:pPr>
      <w:r>
        <w:rPr>
          <w:rFonts w:ascii="楷体" w:hAnsi="楷体" w:eastAsia="楷体"/>
          <w:b/>
          <w:sz w:val="28"/>
          <w:szCs w:val="28"/>
        </w:rPr>
        <w:t>8.2</w:t>
      </w:r>
      <w:r>
        <w:rPr>
          <w:rFonts w:hint="eastAsia" w:ascii="楷体" w:hAnsi="楷体" w:eastAsia="楷体" w:cs="宋体"/>
          <w:b/>
          <w:sz w:val="28"/>
          <w:szCs w:val="28"/>
        </w:rPr>
        <w:t>签订合同</w:t>
      </w:r>
    </w:p>
    <w:p w14:paraId="4F3D6B48">
      <w:pPr>
        <w:adjustRightInd w:val="0"/>
        <w:snapToGrid w:val="0"/>
        <w:spacing w:line="490" w:lineRule="exact"/>
        <w:ind w:firstLine="560" w:firstLineChars="200"/>
        <w:rPr>
          <w:rFonts w:ascii="宋体"/>
          <w:sz w:val="28"/>
          <w:szCs w:val="28"/>
        </w:rPr>
      </w:pPr>
      <w:r>
        <w:rPr>
          <w:rFonts w:hint="eastAsia" w:ascii="宋体" w:hAnsi="宋体" w:cs="宋体"/>
          <w:sz w:val="28"/>
          <w:szCs w:val="28"/>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59426D1A">
      <w:pPr>
        <w:adjustRightInd w:val="0"/>
        <w:snapToGrid w:val="0"/>
        <w:spacing w:line="490" w:lineRule="exact"/>
        <w:rPr>
          <w:rFonts w:ascii="黑体" w:hAnsi="黑体" w:eastAsia="黑体" w:cs="宋体"/>
          <w:sz w:val="32"/>
          <w:szCs w:val="32"/>
        </w:rPr>
      </w:pPr>
      <w:r>
        <w:rPr>
          <w:rFonts w:hint="eastAsia" w:ascii="黑体" w:hAnsi="黑体" w:eastAsia="黑体"/>
          <w:sz w:val="32"/>
          <w:szCs w:val="32"/>
        </w:rPr>
        <w:t>9</w:t>
      </w:r>
      <w:r>
        <w:rPr>
          <w:rFonts w:ascii="黑体" w:hAnsi="黑体" w:eastAsia="黑体"/>
          <w:sz w:val="32"/>
          <w:szCs w:val="32"/>
        </w:rPr>
        <w:t xml:space="preserve">. </w:t>
      </w:r>
      <w:r>
        <w:rPr>
          <w:rFonts w:hint="eastAsia" w:ascii="黑体" w:hAnsi="黑体" w:eastAsia="黑体" w:cs="宋体"/>
          <w:sz w:val="32"/>
          <w:szCs w:val="32"/>
        </w:rPr>
        <w:t>需要补充的其他内容</w:t>
      </w:r>
    </w:p>
    <w:p w14:paraId="620F76D6">
      <w:pPr>
        <w:spacing w:line="490" w:lineRule="exact"/>
        <w:ind w:firstLine="560" w:firstLineChars="200"/>
        <w:rPr>
          <w:rFonts w:ascii="楷体" w:hAnsi="楷体" w:eastAsia="楷体"/>
          <w:b/>
          <w:sz w:val="28"/>
          <w:szCs w:val="28"/>
        </w:rPr>
      </w:pPr>
      <w:r>
        <w:rPr>
          <w:rFonts w:hint="eastAsia" w:ascii="宋体" w:hAnsi="宋体" w:cs="宋体"/>
          <w:sz w:val="28"/>
        </w:rPr>
        <w:t>需要补充的其他内容：见供应商须知前附表。</w:t>
      </w:r>
      <w:bookmarkEnd w:id="41"/>
      <w:bookmarkEnd w:id="42"/>
      <w:bookmarkEnd w:id="43"/>
      <w:bookmarkEnd w:id="44"/>
      <w:bookmarkEnd w:id="45"/>
      <w:bookmarkEnd w:id="46"/>
      <w:bookmarkEnd w:id="47"/>
      <w:bookmarkEnd w:id="48"/>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Start w:id="214" w:name="_Hlt26782999"/>
      <w:bookmarkEnd w:id="214"/>
      <w:bookmarkStart w:id="215" w:name="_Hlt26609391"/>
      <w:bookmarkEnd w:id="215"/>
      <w:bookmarkStart w:id="216" w:name="_Hlt26955056"/>
      <w:bookmarkEnd w:id="216"/>
      <w:bookmarkStart w:id="217" w:name="_Hlt24879081"/>
      <w:bookmarkEnd w:id="217"/>
      <w:bookmarkStart w:id="218" w:name="_Hlt26955064"/>
      <w:bookmarkEnd w:id="218"/>
      <w:bookmarkStart w:id="219" w:name="_Hlt26580838"/>
      <w:bookmarkEnd w:id="219"/>
      <w:bookmarkStart w:id="220" w:name="_Hlt26671372"/>
      <w:bookmarkEnd w:id="220"/>
      <w:bookmarkStart w:id="221" w:name="_Hlt26671343"/>
      <w:bookmarkEnd w:id="221"/>
    </w:p>
    <w:p w14:paraId="7F161F1E">
      <w:pPr>
        <w:pStyle w:val="6"/>
        <w:spacing w:line="490" w:lineRule="exact"/>
      </w:pPr>
    </w:p>
    <w:p w14:paraId="20A24266">
      <w:pPr>
        <w:pStyle w:val="6"/>
      </w:pPr>
    </w:p>
    <w:p w14:paraId="647D6697">
      <w:pPr>
        <w:pStyle w:val="6"/>
      </w:pPr>
    </w:p>
    <w:p w14:paraId="561D09EC">
      <w:pPr>
        <w:pStyle w:val="6"/>
      </w:pPr>
    </w:p>
    <w:p w14:paraId="6E6CE6C5">
      <w:pPr>
        <w:pStyle w:val="6"/>
      </w:pPr>
    </w:p>
    <w:p w14:paraId="32C8C443">
      <w:pPr>
        <w:widowControl/>
        <w:jc w:val="left"/>
      </w:pPr>
      <w:r>
        <w:br w:type="page"/>
      </w:r>
    </w:p>
    <w:p w14:paraId="3A5986C7">
      <w:pPr>
        <w:pStyle w:val="30"/>
        <w:spacing w:line="360" w:lineRule="exact"/>
        <w:ind w:left="-2" w:leftChars="-1" w:firstLine="643" w:firstLineChars="200"/>
        <w:jc w:val="center"/>
        <w:outlineLvl w:val="0"/>
        <w:rPr>
          <w:rFonts w:ascii="黑体" w:hAnsi="黑体" w:eastAsia="黑体"/>
          <w:b/>
          <w:sz w:val="32"/>
          <w:szCs w:val="32"/>
        </w:rPr>
      </w:pPr>
      <w:r>
        <w:rPr>
          <w:rFonts w:hint="eastAsia" w:ascii="黑体" w:hAnsi="黑体" w:eastAsia="黑体"/>
          <w:b/>
          <w:sz w:val="32"/>
          <w:szCs w:val="32"/>
        </w:rPr>
        <w:t>第三章</w:t>
      </w:r>
      <w:r>
        <w:rPr>
          <w:rFonts w:ascii="黑体" w:hAnsi="黑体" w:eastAsia="黑体"/>
          <w:b/>
          <w:sz w:val="32"/>
          <w:szCs w:val="32"/>
        </w:rPr>
        <w:t xml:space="preserve"> 资格审查及</w:t>
      </w:r>
      <w:r>
        <w:rPr>
          <w:rFonts w:hint="eastAsia" w:ascii="黑体" w:hAnsi="黑体" w:eastAsia="黑体"/>
          <w:b/>
          <w:sz w:val="32"/>
          <w:szCs w:val="32"/>
        </w:rPr>
        <w:t>评标办法</w:t>
      </w:r>
    </w:p>
    <w:p w14:paraId="1747F7B1">
      <w:pPr>
        <w:rPr>
          <w:sz w:val="28"/>
          <w:szCs w:val="28"/>
        </w:rPr>
      </w:pPr>
      <w:bookmarkStart w:id="222" w:name="_Toc247085746"/>
      <w:bookmarkStart w:id="223" w:name="_Toc343525563"/>
      <w:bookmarkStart w:id="224" w:name="_Toc246996231"/>
      <w:bookmarkStart w:id="225" w:name="_Toc426469920"/>
      <w:bookmarkStart w:id="226" w:name="_Toc383438647"/>
      <w:bookmarkStart w:id="227" w:name="_Toc152042365"/>
      <w:bookmarkStart w:id="228" w:name="_Toc246996974"/>
      <w:bookmarkStart w:id="229" w:name="_Toc152045588"/>
      <w:bookmarkStart w:id="230" w:name="_Toc144974555"/>
      <w:bookmarkStart w:id="231" w:name="_Toc179632606"/>
      <w:r>
        <w:rPr>
          <w:rFonts w:hint="eastAsia"/>
          <w:sz w:val="28"/>
          <w:szCs w:val="28"/>
        </w:rPr>
        <w:t>资格审查和评标办法前附表</w:t>
      </w:r>
      <w:bookmarkEnd w:id="222"/>
      <w:bookmarkEnd w:id="223"/>
      <w:bookmarkEnd w:id="224"/>
      <w:bookmarkEnd w:id="225"/>
      <w:bookmarkEnd w:id="226"/>
      <w:bookmarkEnd w:id="227"/>
      <w:bookmarkEnd w:id="228"/>
      <w:bookmarkEnd w:id="229"/>
      <w:bookmarkEnd w:id="230"/>
      <w:bookmarkEnd w:id="231"/>
      <w:bookmarkStart w:id="232" w:name="_Toc247085747"/>
      <w:bookmarkStart w:id="233" w:name="_Toc246996232"/>
      <w:bookmarkStart w:id="234" w:name="_Toc152042366"/>
      <w:bookmarkStart w:id="235" w:name="_Toc343525564"/>
      <w:bookmarkStart w:id="236" w:name="_Toc152045589"/>
      <w:bookmarkStart w:id="237" w:name="_Toc179632607"/>
      <w:bookmarkStart w:id="238" w:name="_Toc246996975"/>
      <w:bookmarkStart w:id="239" w:name="_Toc144974556"/>
    </w:p>
    <w:tbl>
      <w:tblPr>
        <w:tblStyle w:val="18"/>
        <w:tblW w:w="10327"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684"/>
        <w:gridCol w:w="2805"/>
        <w:gridCol w:w="5842"/>
        <w:gridCol w:w="450"/>
      </w:tblGrid>
      <w:tr w14:paraId="29818DB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262E3A28">
            <w:pPr>
              <w:spacing w:line="400" w:lineRule="exact"/>
              <w:jc w:val="center"/>
              <w:rPr>
                <w:rFonts w:asciiTheme="minorEastAsia" w:hAnsiTheme="minorEastAsia" w:eastAsiaTheme="minorEastAsia"/>
                <w:kern w:val="2"/>
              </w:rPr>
            </w:pPr>
            <w:r>
              <w:rPr>
                <w:rFonts w:hint="eastAsia" w:asciiTheme="minorEastAsia" w:hAnsiTheme="minorEastAsia" w:eastAsiaTheme="minorEastAsia"/>
                <w:kern w:val="2"/>
              </w:rPr>
              <w:t>条款号</w:t>
            </w:r>
          </w:p>
        </w:tc>
        <w:tc>
          <w:tcPr>
            <w:tcW w:w="2805" w:type="dxa"/>
            <w:tcBorders>
              <w:top w:val="outset" w:color="auto" w:sz="6" w:space="0"/>
              <w:left w:val="outset" w:color="auto" w:sz="6" w:space="0"/>
              <w:bottom w:val="outset" w:color="auto" w:sz="6" w:space="0"/>
              <w:right w:val="outset" w:color="auto" w:sz="6" w:space="0"/>
            </w:tcBorders>
            <w:vAlign w:val="center"/>
          </w:tcPr>
          <w:p w14:paraId="7B71F15A">
            <w:pPr>
              <w:spacing w:line="400" w:lineRule="exact"/>
              <w:jc w:val="center"/>
              <w:rPr>
                <w:rFonts w:asciiTheme="minorEastAsia" w:hAnsiTheme="minorEastAsia" w:eastAsiaTheme="minorEastAsia"/>
                <w:kern w:val="2"/>
              </w:rPr>
            </w:pPr>
            <w:r>
              <w:rPr>
                <w:rFonts w:hint="eastAsia" w:asciiTheme="minorEastAsia" w:hAnsiTheme="minorEastAsia" w:eastAsiaTheme="minorEastAsia"/>
                <w:kern w:val="2"/>
              </w:rPr>
              <w:t>评审因素</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2D49A0DE">
            <w:pPr>
              <w:spacing w:line="400" w:lineRule="exact"/>
              <w:jc w:val="center"/>
              <w:rPr>
                <w:rFonts w:asciiTheme="minorEastAsia" w:hAnsiTheme="minorEastAsia" w:eastAsiaTheme="minorEastAsia"/>
                <w:kern w:val="2"/>
              </w:rPr>
            </w:pPr>
            <w:r>
              <w:rPr>
                <w:rFonts w:hint="eastAsia" w:asciiTheme="minorEastAsia" w:hAnsiTheme="minorEastAsia" w:eastAsiaTheme="minorEastAsia"/>
                <w:kern w:val="2"/>
              </w:rPr>
              <w:t>评审标准</w:t>
            </w:r>
          </w:p>
        </w:tc>
      </w:tr>
      <w:tr w14:paraId="2C6164A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tcBorders>
              <w:top w:val="outset" w:color="auto" w:sz="6" w:space="0"/>
              <w:left w:val="outset" w:color="auto" w:sz="6" w:space="0"/>
              <w:right w:val="outset" w:color="auto" w:sz="6" w:space="0"/>
            </w:tcBorders>
            <w:vAlign w:val="center"/>
          </w:tcPr>
          <w:p w14:paraId="6C379E1F">
            <w:pPr>
              <w:spacing w:line="360" w:lineRule="exact"/>
              <w:jc w:val="center"/>
              <w:rPr>
                <w:rFonts w:eastAsiaTheme="minorEastAsia"/>
                <w:spacing w:val="-40"/>
                <w:kern w:val="2"/>
              </w:rPr>
            </w:pPr>
            <w:r>
              <w:rPr>
                <w:rFonts w:asciiTheme="minorEastAsia" w:hAnsiTheme="minorEastAsia" w:eastAsiaTheme="minorEastAsia"/>
                <w:spacing w:val="-14"/>
                <w:kern w:val="2"/>
              </w:rPr>
              <w:t>1.2</w:t>
            </w:r>
          </w:p>
        </w:tc>
        <w:tc>
          <w:tcPr>
            <w:tcW w:w="684" w:type="dxa"/>
            <w:tcBorders>
              <w:top w:val="outset" w:color="auto" w:sz="6" w:space="0"/>
              <w:left w:val="outset" w:color="auto" w:sz="6" w:space="0"/>
              <w:right w:val="outset" w:color="auto" w:sz="6" w:space="0"/>
            </w:tcBorders>
            <w:vAlign w:val="center"/>
          </w:tcPr>
          <w:p w14:paraId="072BCDAF">
            <w:pPr>
              <w:jc w:val="center"/>
              <w:rPr>
                <w:rFonts w:asciiTheme="minorEastAsia" w:hAnsiTheme="minorEastAsia" w:eastAsiaTheme="minorEastAsia"/>
                <w:kern w:val="2"/>
              </w:rPr>
            </w:pPr>
            <w:r>
              <w:rPr>
                <w:rFonts w:hint="eastAsia" w:asciiTheme="minorEastAsia" w:hAnsiTheme="minorEastAsia" w:eastAsiaTheme="minorEastAsia"/>
                <w:kern w:val="2"/>
              </w:rPr>
              <w:t>资格审查</w:t>
            </w:r>
          </w:p>
        </w:tc>
        <w:tc>
          <w:tcPr>
            <w:tcW w:w="2805" w:type="dxa"/>
            <w:tcBorders>
              <w:top w:val="outset" w:color="auto" w:sz="6" w:space="0"/>
              <w:left w:val="outset" w:color="auto" w:sz="6" w:space="0"/>
              <w:bottom w:val="outset" w:color="auto" w:sz="6" w:space="0"/>
              <w:right w:val="outset" w:color="auto" w:sz="6" w:space="0"/>
            </w:tcBorders>
            <w:vAlign w:val="center"/>
          </w:tcPr>
          <w:p w14:paraId="0CF49F57">
            <w:pPr>
              <w:spacing w:line="320" w:lineRule="exact"/>
              <w:jc w:val="left"/>
              <w:rPr>
                <w:rFonts w:asciiTheme="minorEastAsia" w:hAnsiTheme="minorEastAsia" w:eastAsiaTheme="minorEastAsia"/>
                <w:kern w:val="2"/>
              </w:rPr>
            </w:pPr>
            <w:r>
              <w:rPr>
                <w:rFonts w:hint="eastAsia" w:asciiTheme="minorEastAsia" w:hAnsiTheme="minorEastAsia" w:eastAsiaTheme="minorEastAsia"/>
                <w:kern w:val="2"/>
              </w:rPr>
              <w:t>基本资格条件的承诺</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678A100B">
            <w:pPr>
              <w:spacing w:line="320" w:lineRule="exact"/>
              <w:jc w:val="left"/>
              <w:rPr>
                <w:rFonts w:asciiTheme="minorEastAsia" w:hAnsiTheme="minorEastAsia" w:eastAsiaTheme="minorEastAsia"/>
                <w:kern w:val="2"/>
              </w:rPr>
            </w:pPr>
            <w:r>
              <w:rPr>
                <w:rFonts w:hint="eastAsia" w:asciiTheme="minorEastAsia" w:hAnsiTheme="minorEastAsia" w:eastAsiaTheme="minorEastAsia"/>
                <w:kern w:val="2"/>
              </w:rPr>
              <w:t>根据供应商提供的承诺书，内容完整且具有法人及法定代表人的印章。（内容及格式参照第六章《供应商基本资格条件承诺书》）</w:t>
            </w:r>
          </w:p>
        </w:tc>
      </w:tr>
      <w:tr w14:paraId="5CB56FB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10327" w:type="dxa"/>
            <w:gridSpan w:val="5"/>
            <w:tcBorders>
              <w:top w:val="outset" w:color="auto" w:sz="6" w:space="0"/>
              <w:left w:val="outset" w:color="auto" w:sz="6" w:space="0"/>
              <w:bottom w:val="outset" w:color="auto" w:sz="6" w:space="0"/>
              <w:right w:val="outset" w:color="auto" w:sz="6" w:space="0"/>
            </w:tcBorders>
            <w:vAlign w:val="center"/>
          </w:tcPr>
          <w:p w14:paraId="165D6BF2">
            <w:pPr>
              <w:spacing w:line="460" w:lineRule="exact"/>
              <w:jc w:val="center"/>
              <w:rPr>
                <w:rFonts w:asciiTheme="minorEastAsia" w:hAnsiTheme="minorEastAsia" w:eastAsiaTheme="minorEastAsia"/>
                <w:b/>
                <w:spacing w:val="-14"/>
                <w:kern w:val="2"/>
              </w:rPr>
            </w:pPr>
            <w:r>
              <w:rPr>
                <w:rFonts w:hint="eastAsia" w:asciiTheme="minorEastAsia" w:hAnsiTheme="minorEastAsia" w:eastAsiaTheme="minorEastAsia"/>
                <w:b/>
                <w:spacing w:val="-14"/>
                <w:kern w:val="2"/>
              </w:rPr>
              <w:t>1.2项评审内容由采购人负责，投标文件不符合1.2项评审标准的，作无效标处理。</w:t>
            </w:r>
          </w:p>
        </w:tc>
      </w:tr>
      <w:tr w14:paraId="10F6EB6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3F9CE0FE">
            <w:pPr>
              <w:spacing w:line="360" w:lineRule="exact"/>
              <w:jc w:val="center"/>
              <w:rPr>
                <w:rFonts w:asciiTheme="minorEastAsia" w:hAnsiTheme="minorEastAsia" w:eastAsiaTheme="minorEastAsia"/>
                <w:kern w:val="2"/>
              </w:rPr>
            </w:pPr>
            <w:r>
              <w:rPr>
                <w:rFonts w:hint="eastAsia" w:asciiTheme="minorEastAsia" w:hAnsiTheme="minorEastAsia" w:eastAsiaTheme="minorEastAsia"/>
                <w:spacing w:val="-14"/>
                <w:kern w:val="2"/>
              </w:rPr>
              <w:t>2.2.2</w:t>
            </w:r>
          </w:p>
        </w:tc>
        <w:tc>
          <w:tcPr>
            <w:tcW w:w="684" w:type="dxa"/>
            <w:vMerge w:val="restart"/>
            <w:tcBorders>
              <w:top w:val="outset" w:color="auto" w:sz="6" w:space="0"/>
              <w:left w:val="outset" w:color="auto" w:sz="6" w:space="0"/>
              <w:bottom w:val="outset" w:color="auto" w:sz="6" w:space="0"/>
              <w:right w:val="outset" w:color="auto" w:sz="6" w:space="0"/>
            </w:tcBorders>
            <w:vAlign w:val="center"/>
          </w:tcPr>
          <w:p w14:paraId="211F53B2">
            <w:pPr>
              <w:jc w:val="center"/>
              <w:rPr>
                <w:rFonts w:asciiTheme="minorEastAsia" w:hAnsiTheme="minorEastAsia" w:eastAsiaTheme="minorEastAsia"/>
                <w:kern w:val="2"/>
              </w:rPr>
            </w:pPr>
            <w:r>
              <w:rPr>
                <w:rFonts w:hint="eastAsia" w:asciiTheme="minorEastAsia" w:hAnsiTheme="minorEastAsia" w:eastAsiaTheme="minorEastAsia"/>
                <w:kern w:val="2"/>
              </w:rPr>
              <w:t>符</w:t>
            </w:r>
          </w:p>
          <w:p w14:paraId="7F90BAFD">
            <w:pPr>
              <w:jc w:val="center"/>
              <w:rPr>
                <w:rFonts w:asciiTheme="minorEastAsia" w:hAnsiTheme="minorEastAsia" w:eastAsiaTheme="minorEastAsia"/>
                <w:kern w:val="2"/>
              </w:rPr>
            </w:pPr>
            <w:r>
              <w:rPr>
                <w:rFonts w:hint="eastAsia" w:asciiTheme="minorEastAsia" w:hAnsiTheme="minorEastAsia" w:eastAsiaTheme="minorEastAsia"/>
                <w:kern w:val="2"/>
              </w:rPr>
              <w:t>合</w:t>
            </w:r>
          </w:p>
          <w:p w14:paraId="21576F7A">
            <w:pPr>
              <w:jc w:val="center"/>
              <w:rPr>
                <w:rFonts w:asciiTheme="minorEastAsia" w:hAnsiTheme="minorEastAsia" w:eastAsiaTheme="minorEastAsia"/>
                <w:kern w:val="2"/>
              </w:rPr>
            </w:pPr>
            <w:r>
              <w:rPr>
                <w:rFonts w:hint="eastAsia" w:asciiTheme="minorEastAsia" w:hAnsiTheme="minorEastAsia" w:eastAsiaTheme="minorEastAsia"/>
                <w:kern w:val="2"/>
              </w:rPr>
              <w:t>性</w:t>
            </w:r>
          </w:p>
          <w:p w14:paraId="0CD995EF">
            <w:pPr>
              <w:jc w:val="center"/>
              <w:rPr>
                <w:rFonts w:asciiTheme="minorEastAsia" w:hAnsiTheme="minorEastAsia" w:eastAsiaTheme="minorEastAsia"/>
                <w:kern w:val="2"/>
              </w:rPr>
            </w:pPr>
            <w:r>
              <w:rPr>
                <w:rFonts w:hint="eastAsia" w:asciiTheme="minorEastAsia" w:hAnsiTheme="minorEastAsia" w:eastAsiaTheme="minorEastAsia"/>
                <w:kern w:val="2"/>
              </w:rPr>
              <w:t>评</w:t>
            </w:r>
          </w:p>
          <w:p w14:paraId="428DC623">
            <w:pPr>
              <w:jc w:val="center"/>
              <w:rPr>
                <w:rFonts w:asciiTheme="minorEastAsia" w:hAnsiTheme="minorEastAsia" w:eastAsiaTheme="minorEastAsia"/>
                <w:kern w:val="2"/>
              </w:rPr>
            </w:pPr>
            <w:r>
              <w:rPr>
                <w:rFonts w:hint="eastAsia" w:asciiTheme="minorEastAsia" w:hAnsiTheme="minorEastAsia" w:eastAsiaTheme="minorEastAsia"/>
                <w:kern w:val="2"/>
              </w:rPr>
              <w:t>审</w:t>
            </w:r>
          </w:p>
        </w:tc>
        <w:tc>
          <w:tcPr>
            <w:tcW w:w="2805" w:type="dxa"/>
            <w:tcBorders>
              <w:top w:val="outset" w:color="auto" w:sz="6" w:space="0"/>
              <w:left w:val="outset" w:color="auto" w:sz="6" w:space="0"/>
              <w:bottom w:val="outset" w:color="auto" w:sz="6" w:space="0"/>
              <w:right w:val="outset" w:color="auto" w:sz="6" w:space="0"/>
            </w:tcBorders>
            <w:vAlign w:val="center"/>
          </w:tcPr>
          <w:p w14:paraId="05716A23">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投标文件的签署</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7D96839B">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符合第二章第3.4.4项规定</w:t>
            </w:r>
          </w:p>
        </w:tc>
      </w:tr>
      <w:tr w14:paraId="56B436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1945576">
            <w:pPr>
              <w:jc w:val="center"/>
              <w:rPr>
                <w:rFonts w:asciiTheme="minorEastAsia" w:hAnsiTheme="minorEastAsia" w:eastAsiaTheme="minorEastAsia"/>
                <w:kern w:val="2"/>
              </w:rPr>
            </w:pPr>
          </w:p>
        </w:tc>
        <w:tc>
          <w:tcPr>
            <w:tcW w:w="684" w:type="dxa"/>
            <w:vMerge w:val="continue"/>
            <w:tcBorders>
              <w:top w:val="outset" w:color="auto" w:sz="6" w:space="0"/>
              <w:left w:val="outset" w:color="auto" w:sz="6" w:space="0"/>
              <w:bottom w:val="outset" w:color="auto" w:sz="6" w:space="0"/>
              <w:right w:val="outset" w:color="auto" w:sz="6" w:space="0"/>
            </w:tcBorders>
            <w:vAlign w:val="center"/>
          </w:tcPr>
          <w:p w14:paraId="559DB85B">
            <w:pPr>
              <w:jc w:val="left"/>
              <w:rPr>
                <w:rFonts w:asciiTheme="minorEastAsia" w:hAnsiTheme="minorEastAsia" w:eastAsiaTheme="minorEastAsia"/>
                <w:kern w:val="2"/>
              </w:rPr>
            </w:pPr>
          </w:p>
        </w:tc>
        <w:tc>
          <w:tcPr>
            <w:tcW w:w="2805" w:type="dxa"/>
            <w:tcBorders>
              <w:top w:val="outset" w:color="auto" w:sz="6" w:space="0"/>
              <w:left w:val="outset" w:color="auto" w:sz="6" w:space="0"/>
              <w:bottom w:val="outset" w:color="auto" w:sz="6" w:space="0"/>
              <w:right w:val="outset" w:color="auto" w:sz="6" w:space="0"/>
            </w:tcBorders>
            <w:vAlign w:val="center"/>
          </w:tcPr>
          <w:p w14:paraId="3CEFDF32">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报价</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0AF659A0">
            <w:pPr>
              <w:spacing w:line="320" w:lineRule="exact"/>
              <w:jc w:val="left"/>
              <w:rPr>
                <w:rFonts w:asciiTheme="minorEastAsia" w:hAnsiTheme="minorEastAsia" w:eastAsiaTheme="minorEastAsia"/>
                <w:kern w:val="2"/>
              </w:rPr>
            </w:pPr>
            <w:r>
              <w:rPr>
                <w:rFonts w:hint="eastAsia" w:asciiTheme="minorEastAsia" w:hAnsiTheme="minorEastAsia" w:eastAsiaTheme="minorEastAsia"/>
                <w:kern w:val="2"/>
              </w:rPr>
              <w:t>有且只有一个有效报价；未超过最高限价；</w:t>
            </w:r>
          </w:p>
        </w:tc>
      </w:tr>
      <w:tr w14:paraId="1580997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0C4A984A">
            <w:pPr>
              <w:jc w:val="center"/>
              <w:rPr>
                <w:rFonts w:asciiTheme="minorEastAsia" w:hAnsiTheme="minorEastAsia" w:eastAsiaTheme="minorEastAsia"/>
                <w:kern w:val="2"/>
              </w:rPr>
            </w:pPr>
          </w:p>
        </w:tc>
        <w:tc>
          <w:tcPr>
            <w:tcW w:w="684" w:type="dxa"/>
            <w:vMerge w:val="continue"/>
            <w:tcBorders>
              <w:top w:val="outset" w:color="auto" w:sz="6" w:space="0"/>
              <w:left w:val="outset" w:color="auto" w:sz="6" w:space="0"/>
              <w:bottom w:val="outset" w:color="auto" w:sz="6" w:space="0"/>
              <w:right w:val="outset" w:color="auto" w:sz="6" w:space="0"/>
            </w:tcBorders>
            <w:vAlign w:val="center"/>
          </w:tcPr>
          <w:p w14:paraId="2DF2D86C">
            <w:pPr>
              <w:jc w:val="left"/>
              <w:rPr>
                <w:rFonts w:asciiTheme="minorEastAsia" w:hAnsiTheme="minorEastAsia" w:eastAsiaTheme="minorEastAsia"/>
                <w:kern w:val="2"/>
              </w:rPr>
            </w:pPr>
          </w:p>
        </w:tc>
        <w:tc>
          <w:tcPr>
            <w:tcW w:w="2805" w:type="dxa"/>
            <w:tcBorders>
              <w:top w:val="outset" w:color="auto" w:sz="6" w:space="0"/>
              <w:left w:val="outset" w:color="auto" w:sz="6" w:space="0"/>
              <w:bottom w:val="outset" w:color="auto" w:sz="6" w:space="0"/>
              <w:right w:val="outset" w:color="auto" w:sz="6" w:space="0"/>
            </w:tcBorders>
            <w:vAlign w:val="center"/>
          </w:tcPr>
          <w:p w14:paraId="4F8BCC97">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合同履行期限（合同工期）</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55BEAED3">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符合第二章第</w:t>
            </w:r>
            <w:r>
              <w:rPr>
                <w:rFonts w:asciiTheme="minorEastAsia" w:hAnsiTheme="minorEastAsia" w:eastAsiaTheme="minorEastAsia"/>
                <w:kern w:val="2"/>
              </w:rPr>
              <w:t>1.3.2</w:t>
            </w:r>
            <w:r>
              <w:rPr>
                <w:rFonts w:hint="eastAsia" w:asciiTheme="minorEastAsia" w:hAnsiTheme="minorEastAsia" w:eastAsiaTheme="minorEastAsia"/>
                <w:kern w:val="2"/>
              </w:rPr>
              <w:t>项规定</w:t>
            </w:r>
          </w:p>
        </w:tc>
      </w:tr>
      <w:tr w14:paraId="2D34FF8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5ED66632">
            <w:pPr>
              <w:jc w:val="center"/>
              <w:rPr>
                <w:rFonts w:asciiTheme="minorEastAsia" w:hAnsiTheme="minorEastAsia" w:eastAsiaTheme="minorEastAsia"/>
                <w:kern w:val="2"/>
              </w:rPr>
            </w:pPr>
          </w:p>
        </w:tc>
        <w:tc>
          <w:tcPr>
            <w:tcW w:w="684" w:type="dxa"/>
            <w:vMerge w:val="continue"/>
            <w:tcBorders>
              <w:top w:val="outset" w:color="auto" w:sz="6" w:space="0"/>
              <w:left w:val="outset" w:color="auto" w:sz="6" w:space="0"/>
              <w:bottom w:val="outset" w:color="auto" w:sz="6" w:space="0"/>
              <w:right w:val="outset" w:color="auto" w:sz="6" w:space="0"/>
            </w:tcBorders>
            <w:vAlign w:val="center"/>
          </w:tcPr>
          <w:p w14:paraId="4ABE8089">
            <w:pPr>
              <w:jc w:val="left"/>
              <w:rPr>
                <w:rFonts w:asciiTheme="minorEastAsia" w:hAnsiTheme="minorEastAsia" w:eastAsiaTheme="minorEastAsia"/>
                <w:kern w:val="2"/>
              </w:rPr>
            </w:pPr>
          </w:p>
        </w:tc>
        <w:tc>
          <w:tcPr>
            <w:tcW w:w="2805" w:type="dxa"/>
            <w:tcBorders>
              <w:top w:val="outset" w:color="auto" w:sz="6" w:space="0"/>
              <w:left w:val="outset" w:color="auto" w:sz="6" w:space="0"/>
              <w:bottom w:val="outset" w:color="auto" w:sz="6" w:space="0"/>
              <w:right w:val="outset" w:color="auto" w:sz="6" w:space="0"/>
            </w:tcBorders>
            <w:vAlign w:val="center"/>
          </w:tcPr>
          <w:p w14:paraId="769A4753">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投标有效期</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4F5F14BA">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符合第二章第</w:t>
            </w:r>
            <w:r>
              <w:rPr>
                <w:rFonts w:asciiTheme="minorEastAsia" w:hAnsiTheme="minorEastAsia" w:eastAsiaTheme="minorEastAsia"/>
                <w:kern w:val="2"/>
              </w:rPr>
              <w:t>3.3.1</w:t>
            </w:r>
            <w:r>
              <w:rPr>
                <w:rFonts w:hint="eastAsia" w:asciiTheme="minorEastAsia" w:hAnsiTheme="minorEastAsia" w:eastAsiaTheme="minorEastAsia"/>
                <w:kern w:val="2"/>
              </w:rPr>
              <w:t>项规定</w:t>
            </w:r>
          </w:p>
        </w:tc>
      </w:tr>
      <w:tr w14:paraId="08D2E8E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0B288A7D">
            <w:pPr>
              <w:jc w:val="left"/>
              <w:rPr>
                <w:rFonts w:asciiTheme="minorEastAsia" w:hAnsiTheme="minorEastAsia" w:eastAsiaTheme="minorEastAsia"/>
                <w:kern w:val="2"/>
              </w:rPr>
            </w:pPr>
          </w:p>
        </w:tc>
        <w:tc>
          <w:tcPr>
            <w:tcW w:w="684" w:type="dxa"/>
            <w:vMerge w:val="continue"/>
            <w:tcBorders>
              <w:top w:val="outset" w:color="auto" w:sz="6" w:space="0"/>
              <w:left w:val="outset" w:color="auto" w:sz="6" w:space="0"/>
              <w:bottom w:val="outset" w:color="auto" w:sz="6" w:space="0"/>
              <w:right w:val="outset" w:color="auto" w:sz="6" w:space="0"/>
            </w:tcBorders>
            <w:vAlign w:val="center"/>
          </w:tcPr>
          <w:p w14:paraId="5388F5EA">
            <w:pPr>
              <w:jc w:val="left"/>
              <w:rPr>
                <w:rFonts w:asciiTheme="minorEastAsia" w:hAnsiTheme="minorEastAsia" w:eastAsiaTheme="minorEastAsia"/>
                <w:kern w:val="2"/>
              </w:rPr>
            </w:pPr>
          </w:p>
        </w:tc>
        <w:tc>
          <w:tcPr>
            <w:tcW w:w="2805" w:type="dxa"/>
            <w:tcBorders>
              <w:top w:val="outset" w:color="auto" w:sz="6" w:space="0"/>
              <w:left w:val="outset" w:color="auto" w:sz="6" w:space="0"/>
              <w:bottom w:val="outset" w:color="auto" w:sz="6" w:space="0"/>
              <w:right w:val="outset" w:color="auto" w:sz="6" w:space="0"/>
            </w:tcBorders>
            <w:vAlign w:val="center"/>
          </w:tcPr>
          <w:p w14:paraId="14B9AA8D">
            <w:pPr>
              <w:spacing w:line="380" w:lineRule="exact"/>
              <w:jc w:val="left"/>
              <w:rPr>
                <w:rFonts w:asciiTheme="minorEastAsia" w:hAnsiTheme="minorEastAsia" w:eastAsiaTheme="minorEastAsia"/>
                <w:kern w:val="2"/>
              </w:rPr>
            </w:pPr>
            <w:r>
              <w:rPr>
                <w:rFonts w:hint="eastAsia" w:asciiTheme="minorEastAsia" w:hAnsiTheme="minorEastAsia" w:eastAsiaTheme="minorEastAsia"/>
                <w:kern w:val="2"/>
              </w:rPr>
              <w:t>偏离</w:t>
            </w:r>
          </w:p>
        </w:tc>
        <w:tc>
          <w:tcPr>
            <w:tcW w:w="6292" w:type="dxa"/>
            <w:gridSpan w:val="2"/>
            <w:tcBorders>
              <w:top w:val="outset" w:color="auto" w:sz="6" w:space="0"/>
              <w:left w:val="outset" w:color="auto" w:sz="6" w:space="0"/>
              <w:bottom w:val="outset" w:color="auto" w:sz="6" w:space="0"/>
              <w:right w:val="outset" w:color="auto" w:sz="6" w:space="0"/>
            </w:tcBorders>
            <w:vAlign w:val="center"/>
          </w:tcPr>
          <w:p w14:paraId="727B3DC9">
            <w:pPr>
              <w:spacing w:line="380" w:lineRule="exact"/>
              <w:jc w:val="left"/>
              <w:rPr>
                <w:rFonts w:asciiTheme="minorEastAsia" w:hAnsiTheme="minorEastAsia" w:eastAsiaTheme="minorEastAsia"/>
                <w:kern w:val="2"/>
              </w:rPr>
            </w:pPr>
            <w:r>
              <w:rPr>
                <w:rFonts w:hint="eastAsia" w:asciiTheme="minorEastAsia" w:hAnsiTheme="minorEastAsia" w:eastAsiaTheme="minorEastAsia"/>
                <w:b/>
                <w:spacing w:val="-14"/>
                <w:kern w:val="2"/>
              </w:rPr>
              <w:t>第五章采购需求</w:t>
            </w:r>
            <w:r>
              <w:rPr>
                <w:rFonts w:hint="eastAsia" w:asciiTheme="minorEastAsia" w:hAnsiTheme="minorEastAsia" w:eastAsiaTheme="minorEastAsia"/>
                <w:b/>
                <w:spacing w:val="-14"/>
                <w:kern w:val="2"/>
                <w:lang w:eastAsia="zh-CN"/>
              </w:rPr>
              <w:t>中“两院区物业岗位人员明细表”</w:t>
            </w:r>
            <w:r>
              <w:rPr>
                <w:rFonts w:hint="eastAsia" w:asciiTheme="minorEastAsia" w:hAnsiTheme="minorEastAsia" w:eastAsiaTheme="minorEastAsia"/>
                <w:b/>
                <w:spacing w:val="-14"/>
                <w:kern w:val="2"/>
              </w:rPr>
              <w:t>不允许负偏离</w:t>
            </w:r>
          </w:p>
        </w:tc>
      </w:tr>
      <w:tr w14:paraId="5712F0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10327" w:type="dxa"/>
            <w:gridSpan w:val="5"/>
            <w:tcBorders>
              <w:top w:val="outset" w:color="auto" w:sz="6" w:space="0"/>
              <w:left w:val="outset" w:color="auto" w:sz="6" w:space="0"/>
              <w:bottom w:val="outset" w:color="auto" w:sz="6" w:space="0"/>
              <w:right w:val="outset" w:color="auto" w:sz="6" w:space="0"/>
            </w:tcBorders>
            <w:vAlign w:val="center"/>
          </w:tcPr>
          <w:p w14:paraId="092DB8CF">
            <w:pPr>
              <w:spacing w:line="460" w:lineRule="exact"/>
              <w:jc w:val="center"/>
              <w:rPr>
                <w:rFonts w:asciiTheme="minorEastAsia" w:hAnsiTheme="minorEastAsia" w:eastAsiaTheme="minorEastAsia"/>
                <w:spacing w:val="-18"/>
                <w:kern w:val="2"/>
              </w:rPr>
            </w:pPr>
            <w:r>
              <w:rPr>
                <w:rFonts w:hint="eastAsia" w:asciiTheme="minorEastAsia" w:hAnsiTheme="minorEastAsia" w:eastAsiaTheme="minorEastAsia"/>
                <w:b/>
                <w:spacing w:val="-14"/>
                <w:kern w:val="2"/>
              </w:rPr>
              <w:t>2.2.2项评审内容由评标委员会负责，投标文件不符合2.2.2项评审标准的，作无效标处理。</w:t>
            </w:r>
          </w:p>
        </w:tc>
      </w:tr>
      <w:tr w14:paraId="5DD1CCF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10327" w:type="dxa"/>
            <w:gridSpan w:val="5"/>
            <w:tcBorders>
              <w:top w:val="outset" w:color="auto" w:sz="6" w:space="0"/>
              <w:left w:val="outset" w:color="auto" w:sz="6" w:space="0"/>
              <w:bottom w:val="outset" w:color="auto" w:sz="6" w:space="0"/>
              <w:right w:val="outset" w:color="auto" w:sz="6" w:space="0"/>
            </w:tcBorders>
            <w:vAlign w:val="center"/>
          </w:tcPr>
          <w:p w14:paraId="4DC3AF83">
            <w:pPr>
              <w:spacing w:line="320" w:lineRule="exact"/>
              <w:jc w:val="center"/>
              <w:rPr>
                <w:rFonts w:ascii="宋体"/>
                <w:b/>
                <w:kern w:val="2"/>
              </w:rPr>
            </w:pPr>
            <w:r>
              <w:rPr>
                <w:rFonts w:hint="eastAsia" w:ascii="宋体"/>
                <w:b/>
                <w:kern w:val="2"/>
              </w:rPr>
              <w:t>2.3详细评审</w:t>
            </w:r>
          </w:p>
        </w:tc>
      </w:tr>
      <w:tr w14:paraId="5966F9F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6"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73AFC3BF">
            <w:pPr>
              <w:spacing w:line="320" w:lineRule="exact"/>
              <w:jc w:val="center"/>
              <w:rPr>
                <w:rFonts w:ascii="宋体"/>
                <w:b/>
                <w:kern w:val="2"/>
              </w:rPr>
            </w:pPr>
            <w:r>
              <w:rPr>
                <w:rFonts w:hint="eastAsia" w:cs="仿宋" w:asciiTheme="minorEastAsia" w:hAnsiTheme="minorEastAsia" w:eastAsiaTheme="minorEastAsia"/>
                <w:b/>
                <w:bCs/>
                <w:color w:val="000000"/>
                <w:kern w:val="2"/>
              </w:rPr>
              <w:t>评审因素</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3719EF29">
            <w:pPr>
              <w:spacing w:line="320" w:lineRule="exact"/>
              <w:jc w:val="center"/>
              <w:rPr>
                <w:rFonts w:ascii="宋体"/>
                <w:b/>
                <w:kern w:val="2"/>
              </w:rPr>
            </w:pPr>
            <w:r>
              <w:rPr>
                <w:rFonts w:hint="eastAsia" w:cs="仿宋" w:asciiTheme="minorEastAsia" w:hAnsiTheme="minorEastAsia" w:eastAsiaTheme="minorEastAsia"/>
                <w:b/>
                <w:bCs/>
                <w:color w:val="000000"/>
                <w:kern w:val="2"/>
              </w:rPr>
              <w:t>评分标准</w:t>
            </w:r>
          </w:p>
        </w:tc>
        <w:tc>
          <w:tcPr>
            <w:tcW w:w="450" w:type="dxa"/>
            <w:tcBorders>
              <w:top w:val="outset" w:color="auto" w:sz="6" w:space="0"/>
              <w:left w:val="outset" w:color="auto" w:sz="6" w:space="0"/>
              <w:bottom w:val="outset" w:color="auto" w:sz="6" w:space="0"/>
              <w:right w:val="outset" w:color="auto" w:sz="6" w:space="0"/>
            </w:tcBorders>
            <w:vAlign w:val="center"/>
          </w:tcPr>
          <w:p w14:paraId="5EBF8F67">
            <w:pPr>
              <w:spacing w:line="320" w:lineRule="exact"/>
              <w:jc w:val="center"/>
              <w:rPr>
                <w:rFonts w:ascii="宋体"/>
                <w:b/>
                <w:kern w:val="2"/>
              </w:rPr>
            </w:pPr>
            <w:r>
              <w:rPr>
                <w:rFonts w:hint="eastAsia" w:cs="仿宋" w:asciiTheme="minorEastAsia" w:hAnsiTheme="minorEastAsia" w:eastAsiaTheme="minorEastAsia"/>
                <w:b/>
                <w:bCs/>
                <w:color w:val="000000"/>
                <w:spacing w:val="-28"/>
                <w:kern w:val="2"/>
                <w:sz w:val="24"/>
              </w:rPr>
              <w:t>分值</w:t>
            </w:r>
          </w:p>
        </w:tc>
      </w:tr>
      <w:tr w14:paraId="0BB9B4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1FCFEB54">
            <w:pPr>
              <w:spacing w:line="400" w:lineRule="exact"/>
              <w:rPr>
                <w:rFonts w:ascii="宋体" w:hAnsi="宋体" w:cs="宋体"/>
                <w:kern w:val="2"/>
                <w:szCs w:val="21"/>
              </w:rPr>
            </w:pPr>
            <w:r>
              <w:rPr>
                <w:rFonts w:hint="eastAsia" w:ascii="宋体" w:hAnsi="宋体" w:cs="宋体"/>
                <w:kern w:val="2"/>
                <w:szCs w:val="21"/>
              </w:rPr>
              <w:t>报价部分</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0253AAA0">
            <w:pPr>
              <w:spacing w:line="400" w:lineRule="exact"/>
              <w:jc w:val="left"/>
              <w:rPr>
                <w:rFonts w:ascii="宋体" w:hAnsi="宋体" w:cs="宋体"/>
                <w:color w:val="auto"/>
                <w:kern w:val="2"/>
                <w:szCs w:val="21"/>
              </w:rPr>
            </w:pPr>
            <w:r>
              <w:rPr>
                <w:rFonts w:hint="eastAsia" w:ascii="宋体" w:hAnsi="宋体" w:cs="宋体"/>
                <w:color w:val="auto"/>
                <w:kern w:val="2"/>
                <w:szCs w:val="21"/>
              </w:rPr>
              <w:t>资格性审查和符合性审查合格且投标价格最低为评标基准价，其价格分为50分。其他投标人的价格分按照下列公式计算（小数点保留两位）：投标报价得分=（评标基准价／投标报价）×50分（保留两位小数）。</w:t>
            </w:r>
          </w:p>
          <w:p w14:paraId="77E3F1CA">
            <w:pPr>
              <w:spacing w:line="400" w:lineRule="exact"/>
              <w:jc w:val="left"/>
              <w:rPr>
                <w:rFonts w:ascii="宋体" w:hAnsi="宋体" w:cs="宋体"/>
                <w:kern w:val="2"/>
                <w:szCs w:val="21"/>
              </w:rPr>
            </w:pPr>
            <w:r>
              <w:rPr>
                <w:rFonts w:hint="eastAsia" w:ascii="宋体" w:hAnsi="宋体" w:cs="宋体"/>
                <w:color w:val="auto"/>
                <w:kern w:val="2"/>
                <w:szCs w:val="21"/>
              </w:rPr>
              <w:t>说明：根据《政府采购促进中小企业发展管理办法》规定，对小型和微型生产企业生产的产品或承接的服务价格给予10%的扣除，扣除后的价格参与评审。供应商应当提供《中小企业声明函》（格式见附件）</w:t>
            </w:r>
          </w:p>
        </w:tc>
        <w:tc>
          <w:tcPr>
            <w:tcW w:w="450" w:type="dxa"/>
            <w:tcBorders>
              <w:top w:val="outset" w:color="auto" w:sz="6" w:space="0"/>
              <w:left w:val="outset" w:color="auto" w:sz="6" w:space="0"/>
              <w:bottom w:val="outset" w:color="auto" w:sz="6" w:space="0"/>
              <w:right w:val="outset" w:color="auto" w:sz="6" w:space="0"/>
            </w:tcBorders>
            <w:vAlign w:val="center"/>
          </w:tcPr>
          <w:p w14:paraId="57632D73">
            <w:pPr>
              <w:spacing w:line="400" w:lineRule="exact"/>
              <w:jc w:val="center"/>
              <w:rPr>
                <w:rFonts w:ascii="宋体" w:hAnsi="宋体" w:cs="宋体"/>
                <w:kern w:val="2"/>
                <w:szCs w:val="21"/>
              </w:rPr>
            </w:pPr>
            <w:r>
              <w:rPr>
                <w:rFonts w:hint="eastAsia" w:ascii="宋体" w:hAnsi="宋体" w:cs="宋体"/>
                <w:kern w:val="2"/>
                <w:szCs w:val="21"/>
              </w:rPr>
              <w:t>50</w:t>
            </w:r>
          </w:p>
        </w:tc>
      </w:tr>
      <w:tr w14:paraId="394F294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96" w:hRule="atLeast"/>
          <w:jc w:val="center"/>
        </w:trPr>
        <w:tc>
          <w:tcPr>
            <w:tcW w:w="10327" w:type="dxa"/>
            <w:gridSpan w:val="5"/>
            <w:tcBorders>
              <w:top w:val="outset" w:color="auto" w:sz="6" w:space="0"/>
              <w:left w:val="outset" w:color="auto" w:sz="6" w:space="0"/>
              <w:bottom w:val="outset" w:color="auto" w:sz="6" w:space="0"/>
              <w:right w:val="outset" w:color="auto" w:sz="6" w:space="0"/>
            </w:tcBorders>
            <w:vAlign w:val="center"/>
          </w:tcPr>
          <w:p w14:paraId="1A1F89EA">
            <w:pPr>
              <w:spacing w:line="320" w:lineRule="exact"/>
              <w:jc w:val="center"/>
              <w:rPr>
                <w:rFonts w:asciiTheme="minorEastAsia" w:hAnsiTheme="minorEastAsia" w:eastAsiaTheme="minorEastAsia"/>
                <w:kern w:val="2"/>
              </w:rPr>
            </w:pPr>
            <w:r>
              <w:rPr>
                <w:rFonts w:hint="eastAsia"/>
                <w:kern w:val="2"/>
              </w:rPr>
              <w:t>技术评审</w:t>
            </w:r>
            <w:r>
              <w:rPr>
                <w:rFonts w:hint="eastAsia" w:ascii="仿宋" w:hAnsi="仿宋" w:eastAsia="仿宋"/>
                <w:bCs/>
                <w:snapToGrid w:val="0"/>
                <w:color w:val="000000" w:themeColor="text1"/>
                <w:sz w:val="28"/>
                <w:szCs w:val="28"/>
                <w14:textFill>
                  <w14:solidFill>
                    <w14:schemeClr w14:val="tx1"/>
                  </w14:solidFill>
                </w14:textFill>
              </w:rPr>
              <w:t>（50分）</w:t>
            </w:r>
          </w:p>
        </w:tc>
      </w:tr>
      <w:tr w14:paraId="25A2FD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23" w:hRule="atLeast"/>
          <w:jc w:val="center"/>
        </w:trPr>
        <w:tc>
          <w:tcPr>
            <w:tcW w:w="1230" w:type="dxa"/>
            <w:gridSpan w:val="2"/>
            <w:vMerge w:val="restart"/>
            <w:tcBorders>
              <w:top w:val="outset" w:color="auto" w:sz="6" w:space="0"/>
              <w:left w:val="outset" w:color="auto" w:sz="6" w:space="0"/>
              <w:right w:val="outset" w:color="auto" w:sz="6" w:space="0"/>
            </w:tcBorders>
            <w:vAlign w:val="center"/>
          </w:tcPr>
          <w:p w14:paraId="113962B2">
            <w:pPr>
              <w:spacing w:line="400" w:lineRule="exact"/>
              <w:jc w:val="center"/>
              <w:rPr>
                <w:rFonts w:ascii="宋体" w:hAnsi="宋体" w:cs="宋体"/>
                <w:kern w:val="2"/>
                <w:szCs w:val="21"/>
              </w:rPr>
            </w:pPr>
            <w:r>
              <w:rPr>
                <w:rFonts w:hint="eastAsia" w:ascii="宋体" w:hAnsi="宋体" w:cs="宋体"/>
                <w:kern w:val="2"/>
                <w:szCs w:val="21"/>
              </w:rPr>
              <w:t xml:space="preserve">项目总体服务实施方案  </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1F22A30E">
            <w:pPr>
              <w:spacing w:line="400" w:lineRule="exact"/>
              <w:jc w:val="left"/>
              <w:rPr>
                <w:rFonts w:ascii="宋体" w:hAnsi="宋体" w:cs="宋体"/>
                <w:kern w:val="2"/>
                <w:szCs w:val="21"/>
                <w:lang w:val="zh-CN"/>
              </w:rPr>
            </w:pPr>
            <w:r>
              <w:rPr>
                <w:rFonts w:hint="eastAsia" w:ascii="宋体" w:hAnsi="宋体" w:cs="宋体"/>
                <w:kern w:val="2"/>
                <w:szCs w:val="21"/>
              </w:rPr>
              <w:t>项目服务设想及重难点分析：评委根据投标文件的方案总体设计、服务定位目标、服务理念及投标人针对本项目的重点难点的分析及应对措施或改进现状措施，方案优得5分，良得4分，一般得3分，针对性较差的得2分，没有得0分。</w:t>
            </w:r>
          </w:p>
        </w:tc>
        <w:tc>
          <w:tcPr>
            <w:tcW w:w="450" w:type="dxa"/>
            <w:tcBorders>
              <w:top w:val="outset" w:color="auto" w:sz="6" w:space="0"/>
              <w:left w:val="outset" w:color="auto" w:sz="6" w:space="0"/>
              <w:bottom w:val="outset" w:color="auto" w:sz="6" w:space="0"/>
              <w:right w:val="outset" w:color="auto" w:sz="6" w:space="0"/>
            </w:tcBorders>
            <w:vAlign w:val="center"/>
          </w:tcPr>
          <w:p w14:paraId="147A313E">
            <w:pPr>
              <w:spacing w:line="400" w:lineRule="exact"/>
              <w:jc w:val="center"/>
              <w:rPr>
                <w:rFonts w:hint="eastAsia" w:ascii="宋体" w:hAnsi="宋体" w:eastAsia="宋体" w:cs="宋体"/>
                <w:kern w:val="2"/>
                <w:szCs w:val="21"/>
                <w:lang w:eastAsia="zh-CN"/>
              </w:rPr>
            </w:pPr>
            <w:r>
              <w:rPr>
                <w:rFonts w:hint="eastAsia" w:ascii="宋体" w:hAnsi="宋体" w:cs="宋体"/>
                <w:kern w:val="2"/>
                <w:szCs w:val="21"/>
                <w:lang w:val="en-US" w:eastAsia="zh-CN"/>
              </w:rPr>
              <w:t>5</w:t>
            </w:r>
          </w:p>
        </w:tc>
      </w:tr>
      <w:tr w14:paraId="5181B25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278" w:hRule="atLeast"/>
          <w:jc w:val="center"/>
        </w:trPr>
        <w:tc>
          <w:tcPr>
            <w:tcW w:w="1230" w:type="dxa"/>
            <w:gridSpan w:val="2"/>
            <w:vMerge w:val="continue"/>
            <w:tcBorders>
              <w:left w:val="outset" w:color="auto" w:sz="6" w:space="0"/>
              <w:bottom w:val="outset" w:color="auto" w:sz="6" w:space="0"/>
              <w:right w:val="outset" w:color="auto" w:sz="6" w:space="0"/>
            </w:tcBorders>
            <w:vAlign w:val="center"/>
          </w:tcPr>
          <w:p w14:paraId="2378E7DD">
            <w:pPr>
              <w:spacing w:line="400" w:lineRule="exact"/>
              <w:jc w:val="center"/>
              <w:rPr>
                <w:rFonts w:hint="eastAsia" w:ascii="宋体" w:hAnsi="宋体" w:cs="宋体"/>
                <w:kern w:val="2"/>
                <w:szCs w:val="21"/>
              </w:rPr>
            </w:pP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32C4A029">
            <w:pPr>
              <w:spacing w:line="400" w:lineRule="exact"/>
              <w:jc w:val="left"/>
              <w:rPr>
                <w:rFonts w:hint="eastAsia" w:ascii="宋体" w:hAnsi="宋体" w:cs="宋体"/>
                <w:kern w:val="2"/>
                <w:szCs w:val="21"/>
              </w:rPr>
            </w:pPr>
            <w:r>
              <w:rPr>
                <w:rFonts w:hint="eastAsia" w:ascii="宋体" w:hAnsi="宋体" w:cs="宋体"/>
                <w:kern w:val="2"/>
                <w:szCs w:val="21"/>
              </w:rPr>
              <w:t>各个服务条线的具体服务方案：针对保洁、运送、司梯等服务方案进行综合评分。方案细致完整、针对性强、措施有力的得5分；针对性、可行性良的得4分；针对性、可行性一般的得3分；方案不完整、针对性不强的得2分，没有得0分。</w:t>
            </w:r>
          </w:p>
        </w:tc>
        <w:tc>
          <w:tcPr>
            <w:tcW w:w="450" w:type="dxa"/>
            <w:tcBorders>
              <w:top w:val="outset" w:color="auto" w:sz="6" w:space="0"/>
              <w:left w:val="outset" w:color="auto" w:sz="6" w:space="0"/>
              <w:bottom w:val="outset" w:color="auto" w:sz="6" w:space="0"/>
              <w:right w:val="outset" w:color="auto" w:sz="6" w:space="0"/>
            </w:tcBorders>
            <w:vAlign w:val="center"/>
          </w:tcPr>
          <w:p w14:paraId="0DDA0BD8">
            <w:pPr>
              <w:spacing w:line="400" w:lineRule="exact"/>
              <w:jc w:val="center"/>
              <w:rPr>
                <w:rFonts w:hint="eastAsia" w:ascii="宋体" w:hAnsi="宋体" w:eastAsia="宋体" w:cs="宋体"/>
                <w:kern w:val="2"/>
                <w:szCs w:val="21"/>
                <w:lang w:val="en-US" w:eastAsia="zh-CN"/>
              </w:rPr>
            </w:pPr>
            <w:r>
              <w:rPr>
                <w:rFonts w:hint="eastAsia" w:ascii="宋体" w:hAnsi="宋体" w:cs="宋体"/>
                <w:kern w:val="2"/>
                <w:szCs w:val="21"/>
                <w:lang w:val="en-US" w:eastAsia="zh-CN"/>
              </w:rPr>
              <w:t>5</w:t>
            </w:r>
          </w:p>
        </w:tc>
      </w:tr>
      <w:tr w14:paraId="17210BB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0"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3E7E53CD">
            <w:pPr>
              <w:spacing w:line="400" w:lineRule="exact"/>
              <w:jc w:val="center"/>
              <w:rPr>
                <w:rFonts w:ascii="宋体" w:hAnsi="宋体" w:cs="宋体"/>
                <w:kern w:val="2"/>
                <w:szCs w:val="21"/>
              </w:rPr>
            </w:pPr>
            <w:r>
              <w:rPr>
                <w:rFonts w:hint="eastAsia" w:ascii="宋体" w:hAnsi="宋体" w:cs="宋体"/>
                <w:kern w:val="2"/>
                <w:szCs w:val="21"/>
              </w:rPr>
              <w:t xml:space="preserve">防止交叉感染方案  </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056AC09C">
            <w:pPr>
              <w:spacing w:line="400" w:lineRule="exact"/>
              <w:jc w:val="left"/>
              <w:rPr>
                <w:rFonts w:ascii="宋体" w:hAnsi="宋体" w:cs="宋体"/>
                <w:kern w:val="2"/>
                <w:szCs w:val="21"/>
                <w:lang w:val="zh-CN"/>
              </w:rPr>
            </w:pPr>
            <w:r>
              <w:rPr>
                <w:rFonts w:hint="eastAsia" w:ascii="宋体" w:hAnsi="宋体" w:cs="宋体"/>
                <w:kern w:val="2"/>
                <w:szCs w:val="21"/>
              </w:rPr>
              <w:t>评委根据投标人针对本项目提供的医院防止交叉感染和消毒制度方案评分，至少包含院感分析、基本防护措施、卫生保洁中的院感措施等。方案严格全面可操作、完全能够有效预防和控制交叉感染，符合国家相关法律法规要求的得10分；方案全面、可预防和控制交叉感染方案基本符合国家相关法律法规要求的得8分；方案不全面、可预防和控制交叉感染方案部分不符合国家相关法律法规要求的得6分；方案不完整、针对性差、基本不可行的得4分，没有得0分。</w:t>
            </w:r>
          </w:p>
        </w:tc>
        <w:tc>
          <w:tcPr>
            <w:tcW w:w="450" w:type="dxa"/>
            <w:tcBorders>
              <w:top w:val="outset" w:color="auto" w:sz="6" w:space="0"/>
              <w:left w:val="outset" w:color="auto" w:sz="6" w:space="0"/>
              <w:bottom w:val="outset" w:color="auto" w:sz="6" w:space="0"/>
              <w:right w:val="outset" w:color="auto" w:sz="6" w:space="0"/>
            </w:tcBorders>
            <w:vAlign w:val="center"/>
          </w:tcPr>
          <w:p w14:paraId="4EF89D91">
            <w:pPr>
              <w:spacing w:line="400" w:lineRule="exact"/>
              <w:jc w:val="center"/>
              <w:rPr>
                <w:rFonts w:ascii="宋体" w:hAnsi="宋体" w:cs="宋体"/>
                <w:kern w:val="2"/>
                <w:szCs w:val="21"/>
              </w:rPr>
            </w:pPr>
            <w:r>
              <w:rPr>
                <w:rFonts w:hint="eastAsia" w:ascii="宋体" w:hAnsi="宋体" w:cs="宋体"/>
                <w:kern w:val="2"/>
                <w:szCs w:val="21"/>
              </w:rPr>
              <w:t>10</w:t>
            </w:r>
          </w:p>
        </w:tc>
      </w:tr>
      <w:tr w14:paraId="75DEB9D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57C57B9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s="宋体"/>
                <w:kern w:val="2"/>
                <w:szCs w:val="21"/>
              </w:rPr>
            </w:pPr>
            <w:r>
              <w:rPr>
                <w:rFonts w:hint="eastAsia" w:ascii="宋体" w:hAnsi="宋体" w:cs="宋体"/>
                <w:kern w:val="2"/>
                <w:szCs w:val="21"/>
              </w:rPr>
              <w:t>组织机构设置及管理制度</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1DEEDA6E">
            <w:pPr>
              <w:spacing w:line="400" w:lineRule="exact"/>
              <w:jc w:val="left"/>
              <w:rPr>
                <w:rFonts w:ascii="宋体" w:hAnsi="宋体" w:cs="宋体"/>
                <w:kern w:val="2"/>
                <w:szCs w:val="21"/>
              </w:rPr>
            </w:pPr>
            <w:r>
              <w:rPr>
                <w:rFonts w:hint="eastAsia" w:ascii="宋体" w:hAnsi="宋体" w:cs="宋体"/>
                <w:kern w:val="2"/>
                <w:szCs w:val="21"/>
              </w:rPr>
              <w:t>评委根据投标人提供的组织机构设置及项目管理制度进行综合评分：管理机构设置合理，有明确的管理各部门职责和管理制度，且工作流程完整可行的得5分；管理机构设置较为合理，工作流程较为完整可行的，得4分；管理机构设置一般，工作流程较可行的，得3分；组织机构设置不完善、项目管理制度不合理的得2分，没有得0分。</w:t>
            </w:r>
          </w:p>
        </w:tc>
        <w:tc>
          <w:tcPr>
            <w:tcW w:w="450" w:type="dxa"/>
            <w:tcBorders>
              <w:top w:val="outset" w:color="auto" w:sz="6" w:space="0"/>
              <w:left w:val="outset" w:color="auto" w:sz="6" w:space="0"/>
              <w:bottom w:val="outset" w:color="auto" w:sz="6" w:space="0"/>
              <w:right w:val="outset" w:color="auto" w:sz="6" w:space="0"/>
            </w:tcBorders>
            <w:vAlign w:val="center"/>
          </w:tcPr>
          <w:p w14:paraId="0BC016F1">
            <w:pPr>
              <w:spacing w:line="400" w:lineRule="exact"/>
              <w:jc w:val="center"/>
              <w:rPr>
                <w:rFonts w:ascii="宋体" w:hAnsi="宋体" w:cs="宋体"/>
                <w:kern w:val="2"/>
                <w:szCs w:val="21"/>
              </w:rPr>
            </w:pPr>
            <w:r>
              <w:rPr>
                <w:rFonts w:hint="eastAsia" w:ascii="宋体" w:hAnsi="宋体" w:cs="宋体"/>
                <w:kern w:val="2"/>
                <w:szCs w:val="21"/>
              </w:rPr>
              <w:t>5</w:t>
            </w:r>
          </w:p>
        </w:tc>
      </w:tr>
      <w:tr w14:paraId="1C0E63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6855CFE5">
            <w:pPr>
              <w:spacing w:line="400" w:lineRule="exact"/>
              <w:jc w:val="center"/>
              <w:rPr>
                <w:rFonts w:ascii="宋体" w:hAnsi="宋体" w:cs="宋体"/>
                <w:kern w:val="2"/>
                <w:szCs w:val="21"/>
              </w:rPr>
            </w:pPr>
            <w:r>
              <w:rPr>
                <w:rFonts w:hint="eastAsia" w:ascii="宋体" w:hAnsi="宋体" w:cs="宋体"/>
                <w:kern w:val="2"/>
                <w:szCs w:val="21"/>
              </w:rPr>
              <w:t xml:space="preserve">交接过渡方案  </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1B5FFA4C">
            <w:pPr>
              <w:spacing w:line="400" w:lineRule="exact"/>
              <w:jc w:val="left"/>
              <w:rPr>
                <w:rFonts w:ascii="宋体" w:hAnsi="宋体" w:cs="宋体"/>
                <w:kern w:val="2"/>
                <w:szCs w:val="21"/>
              </w:rPr>
            </w:pPr>
            <w:r>
              <w:rPr>
                <w:rFonts w:hint="eastAsia" w:ascii="宋体" w:hAnsi="宋体" w:cs="宋体"/>
                <w:kern w:val="2"/>
                <w:szCs w:val="21"/>
              </w:rPr>
              <w:t>评委根据投标人针对本项目提供的交接过渡方案评分，进场交接过渡方案中至少包括交接时间进度安排、人员交接安排、交接中突发事件对应措施、具体交接安排等内容。交接过渡方案完善、切实合理、可行且针对性强的得5分；进场交接过渡方案较完整，安排较为合理可行的得4分；方案完整性、合理性可行的得3分，方案完整性、合理性一般的得2分，没有得0分。</w:t>
            </w:r>
          </w:p>
        </w:tc>
        <w:tc>
          <w:tcPr>
            <w:tcW w:w="450" w:type="dxa"/>
            <w:tcBorders>
              <w:top w:val="outset" w:color="auto" w:sz="6" w:space="0"/>
              <w:left w:val="outset" w:color="auto" w:sz="6" w:space="0"/>
              <w:bottom w:val="outset" w:color="auto" w:sz="6" w:space="0"/>
              <w:right w:val="outset" w:color="auto" w:sz="6" w:space="0"/>
            </w:tcBorders>
            <w:vAlign w:val="center"/>
          </w:tcPr>
          <w:p w14:paraId="08CA5A75">
            <w:pPr>
              <w:spacing w:line="400" w:lineRule="exact"/>
              <w:jc w:val="center"/>
              <w:rPr>
                <w:rFonts w:ascii="宋体" w:hAnsi="宋体" w:cs="宋体"/>
                <w:kern w:val="2"/>
                <w:szCs w:val="21"/>
              </w:rPr>
            </w:pPr>
            <w:r>
              <w:rPr>
                <w:rFonts w:hint="eastAsia" w:ascii="宋体" w:hAnsi="宋体" w:cs="宋体"/>
                <w:kern w:val="2"/>
                <w:szCs w:val="21"/>
              </w:rPr>
              <w:t>5</w:t>
            </w:r>
          </w:p>
        </w:tc>
      </w:tr>
      <w:tr w14:paraId="7C03FF3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39"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0791355D">
            <w:pPr>
              <w:spacing w:line="400" w:lineRule="exact"/>
              <w:jc w:val="center"/>
              <w:rPr>
                <w:rFonts w:ascii="宋体" w:hAnsi="宋体" w:cs="宋体"/>
                <w:kern w:val="2"/>
                <w:szCs w:val="21"/>
              </w:rPr>
            </w:pPr>
            <w:r>
              <w:rPr>
                <w:rFonts w:hint="eastAsia" w:ascii="宋体" w:hAnsi="宋体" w:cs="宋体"/>
                <w:kern w:val="2"/>
                <w:szCs w:val="21"/>
              </w:rPr>
              <w:t xml:space="preserve">设备物资  </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2D12C3CA">
            <w:pPr>
              <w:spacing w:line="400" w:lineRule="exact"/>
              <w:jc w:val="left"/>
              <w:rPr>
                <w:rFonts w:ascii="宋体" w:hAnsi="宋体" w:cs="宋体"/>
                <w:kern w:val="2"/>
                <w:szCs w:val="21"/>
              </w:rPr>
            </w:pPr>
            <w:r>
              <w:rPr>
                <w:rFonts w:hint="eastAsia" w:ascii="宋体" w:hAnsi="宋体" w:cs="宋体"/>
                <w:kern w:val="2"/>
                <w:szCs w:val="21"/>
              </w:rPr>
              <w:t>评委根据招标文件要求，对各投标人拟投入本项目的工具、物资耗材、设备配置情况等进行评分。物资投入数量非常合理、针对性强得10分；数量合理、针对性尚可的得8分；数量基本合理、针对性一般的得6分；数量不合理、针对性差的得4分，没有得0分。</w:t>
            </w:r>
          </w:p>
        </w:tc>
        <w:tc>
          <w:tcPr>
            <w:tcW w:w="450" w:type="dxa"/>
            <w:tcBorders>
              <w:top w:val="outset" w:color="auto" w:sz="6" w:space="0"/>
              <w:left w:val="outset" w:color="auto" w:sz="6" w:space="0"/>
              <w:bottom w:val="outset" w:color="auto" w:sz="6" w:space="0"/>
              <w:right w:val="outset" w:color="auto" w:sz="6" w:space="0"/>
            </w:tcBorders>
            <w:vAlign w:val="center"/>
          </w:tcPr>
          <w:p w14:paraId="74237EC5">
            <w:pPr>
              <w:spacing w:line="400" w:lineRule="exact"/>
              <w:jc w:val="center"/>
              <w:rPr>
                <w:rFonts w:ascii="宋体" w:hAnsi="宋体" w:cs="宋体"/>
                <w:kern w:val="2"/>
                <w:szCs w:val="21"/>
              </w:rPr>
            </w:pPr>
            <w:r>
              <w:rPr>
                <w:rFonts w:hint="eastAsia" w:ascii="宋体" w:hAnsi="宋体" w:cs="宋体"/>
                <w:kern w:val="2"/>
                <w:szCs w:val="21"/>
              </w:rPr>
              <w:t>10</w:t>
            </w:r>
          </w:p>
        </w:tc>
      </w:tr>
      <w:tr w14:paraId="39CE254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1230" w:type="dxa"/>
            <w:gridSpan w:val="2"/>
            <w:tcBorders>
              <w:top w:val="outset" w:color="auto" w:sz="6" w:space="0"/>
              <w:left w:val="outset" w:color="auto" w:sz="6" w:space="0"/>
              <w:bottom w:val="outset" w:color="auto" w:sz="6" w:space="0"/>
              <w:right w:val="outset" w:color="auto" w:sz="6" w:space="0"/>
            </w:tcBorders>
            <w:vAlign w:val="center"/>
          </w:tcPr>
          <w:p w14:paraId="2CFE85D6">
            <w:pPr>
              <w:spacing w:line="400" w:lineRule="exact"/>
              <w:jc w:val="center"/>
              <w:rPr>
                <w:rFonts w:ascii="宋体" w:hAnsi="宋体" w:cs="宋体"/>
                <w:kern w:val="2"/>
                <w:szCs w:val="21"/>
              </w:rPr>
            </w:pPr>
            <w:r>
              <w:rPr>
                <w:rFonts w:hint="eastAsia" w:ascii="宋体" w:hAnsi="宋体" w:cs="宋体"/>
                <w:kern w:val="2"/>
                <w:szCs w:val="21"/>
              </w:rPr>
              <w:t xml:space="preserve">临时突发事件应急措施 </w:t>
            </w:r>
          </w:p>
        </w:tc>
        <w:tc>
          <w:tcPr>
            <w:tcW w:w="8647" w:type="dxa"/>
            <w:gridSpan w:val="2"/>
            <w:tcBorders>
              <w:top w:val="outset" w:color="auto" w:sz="6" w:space="0"/>
              <w:left w:val="outset" w:color="auto" w:sz="6" w:space="0"/>
              <w:bottom w:val="outset" w:color="auto" w:sz="6" w:space="0"/>
              <w:right w:val="outset" w:color="auto" w:sz="6" w:space="0"/>
            </w:tcBorders>
            <w:vAlign w:val="center"/>
          </w:tcPr>
          <w:p w14:paraId="3D5DC97A">
            <w:pPr>
              <w:spacing w:line="400" w:lineRule="exact"/>
              <w:jc w:val="left"/>
              <w:rPr>
                <w:rFonts w:ascii="宋体" w:hAnsi="宋体" w:cs="宋体"/>
                <w:kern w:val="2"/>
                <w:szCs w:val="21"/>
              </w:rPr>
            </w:pPr>
            <w:bookmarkStart w:id="537" w:name="_GoBack"/>
            <w:r>
              <w:rPr>
                <w:rFonts w:hint="eastAsia" w:ascii="宋体" w:hAnsi="宋体" w:cs="宋体"/>
                <w:kern w:val="2"/>
                <w:szCs w:val="21"/>
              </w:rPr>
              <w:t>投标人应根据本次的招标范围、内容，结合项目现场的运行情况及要求，充分识别危险源及可能发生的各类突发事件，编制适合本项目的危机预防和应急处理预案。</w:t>
            </w:r>
          </w:p>
          <w:p w14:paraId="781B43A7">
            <w:pPr>
              <w:spacing w:line="400" w:lineRule="exact"/>
              <w:jc w:val="left"/>
              <w:rPr>
                <w:rFonts w:ascii="宋体" w:hAnsi="宋体" w:cs="宋体"/>
                <w:kern w:val="2"/>
                <w:szCs w:val="21"/>
              </w:rPr>
            </w:pPr>
            <w:r>
              <w:rPr>
                <w:rFonts w:hint="eastAsia" w:ascii="宋体" w:hAnsi="宋体" w:cs="宋体"/>
                <w:kern w:val="2"/>
                <w:szCs w:val="21"/>
              </w:rPr>
              <w:t>1．评委根据投标人针对本项目提供的临时突发事件应急预案评分，需至少包含①特殊时期重大突发传染病疫情应急方案②公共事件应急方案③恶劣天气应急方案④保洁、运送服务中突发事件应急方案⑤停水、停汽、停电应急预案⑥消防火灾应急预案⑦医闹应急预案。投标人应急预案详细，周密性强、可行性高的得10分；投标人应急预案较为详细，具备一定合理性的得8分；投标人应急预案一般，部分具备合理性的得6分；应急预案合理性差，不甚详细的得4分，没有得0分。</w:t>
            </w:r>
            <w:bookmarkEnd w:id="537"/>
          </w:p>
        </w:tc>
        <w:tc>
          <w:tcPr>
            <w:tcW w:w="450" w:type="dxa"/>
            <w:tcBorders>
              <w:top w:val="outset" w:color="auto" w:sz="6" w:space="0"/>
              <w:left w:val="outset" w:color="auto" w:sz="6" w:space="0"/>
              <w:bottom w:val="outset" w:color="auto" w:sz="6" w:space="0"/>
              <w:right w:val="outset" w:color="auto" w:sz="6" w:space="0"/>
            </w:tcBorders>
            <w:vAlign w:val="center"/>
          </w:tcPr>
          <w:p w14:paraId="32E6791F">
            <w:pPr>
              <w:spacing w:line="400" w:lineRule="exact"/>
              <w:jc w:val="center"/>
              <w:rPr>
                <w:rFonts w:ascii="宋体" w:hAnsi="宋体" w:cs="宋体"/>
                <w:kern w:val="2"/>
                <w:szCs w:val="21"/>
              </w:rPr>
            </w:pPr>
            <w:r>
              <w:rPr>
                <w:rFonts w:hint="eastAsia" w:ascii="宋体" w:hAnsi="宋体" w:cs="宋体"/>
                <w:kern w:val="2"/>
                <w:szCs w:val="21"/>
              </w:rPr>
              <w:t>10</w:t>
            </w:r>
          </w:p>
        </w:tc>
      </w:tr>
    </w:tbl>
    <w:p w14:paraId="7C10B2D1">
      <w:pPr>
        <w:adjustRightInd w:val="0"/>
        <w:snapToGrid w:val="0"/>
        <w:spacing w:line="500" w:lineRule="exact"/>
        <w:jc w:val="left"/>
        <w:rPr>
          <w:rFonts w:ascii="黑体" w:hAnsi="黑体" w:eastAsia="黑体"/>
          <w:sz w:val="32"/>
          <w:szCs w:val="32"/>
        </w:rPr>
      </w:pPr>
      <w:bookmarkStart w:id="240" w:name="_Toc426469921"/>
      <w:r>
        <w:rPr>
          <w:rFonts w:hint="eastAsia" w:ascii="黑体" w:hAnsi="黑体" w:eastAsia="黑体"/>
          <w:sz w:val="32"/>
          <w:szCs w:val="32"/>
        </w:rPr>
        <w:t>1.资格审查</w:t>
      </w:r>
    </w:p>
    <w:p w14:paraId="356F556C">
      <w:pPr>
        <w:pStyle w:val="6"/>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1.1项目开标结束后，招标人对投标人的资格进行审查。</w:t>
      </w:r>
    </w:p>
    <w:p w14:paraId="6DFF0EEC">
      <w:pPr>
        <w:pStyle w:val="6"/>
        <w:adjustRightInd w:val="0"/>
        <w:snapToGrid w:val="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1.2资格审查的内容和标准：见资格审查和评标办法前附表。</w:t>
      </w:r>
    </w:p>
    <w:p w14:paraId="32471146">
      <w:pPr>
        <w:adjustRightInd w:val="0"/>
        <w:snapToGrid w:val="0"/>
        <w:spacing w:line="500" w:lineRule="exact"/>
        <w:jc w:val="left"/>
        <w:rPr>
          <w:rFonts w:ascii="黑体" w:hAnsi="黑体" w:eastAsia="黑体"/>
          <w:sz w:val="32"/>
          <w:szCs w:val="32"/>
        </w:rPr>
      </w:pPr>
      <w:r>
        <w:rPr>
          <w:rFonts w:hint="eastAsia" w:ascii="黑体" w:hAnsi="黑体" w:eastAsia="黑体"/>
          <w:sz w:val="32"/>
          <w:szCs w:val="32"/>
        </w:rPr>
        <w:t>2</w:t>
      </w:r>
      <w:r>
        <w:rPr>
          <w:rFonts w:ascii="黑体" w:hAnsi="黑体" w:eastAsia="黑体"/>
          <w:sz w:val="32"/>
          <w:szCs w:val="32"/>
        </w:rPr>
        <w:t>.</w:t>
      </w:r>
      <w:r>
        <w:rPr>
          <w:rFonts w:hint="eastAsia" w:ascii="黑体" w:hAnsi="黑体" w:eastAsia="黑体"/>
          <w:sz w:val="32"/>
          <w:szCs w:val="32"/>
        </w:rPr>
        <w:t>评标</w:t>
      </w:r>
    </w:p>
    <w:bookmarkEnd w:id="240"/>
    <w:p w14:paraId="3137B0BB">
      <w:pPr>
        <w:adjustRightInd w:val="0"/>
        <w:snapToGrid w:val="0"/>
        <w:spacing w:line="500" w:lineRule="exact"/>
        <w:rPr>
          <w:rFonts w:ascii="楷体" w:hAnsi="楷体" w:eastAsia="楷体"/>
          <w:b/>
          <w:sz w:val="28"/>
          <w:szCs w:val="28"/>
        </w:rPr>
      </w:pPr>
      <w:r>
        <w:rPr>
          <w:rFonts w:hint="eastAsia" w:ascii="楷体" w:hAnsi="楷体" w:eastAsia="楷体"/>
          <w:b/>
          <w:sz w:val="28"/>
          <w:szCs w:val="28"/>
        </w:rPr>
        <w:t>2.1评标方法</w:t>
      </w:r>
    </w:p>
    <w:p w14:paraId="284D525E">
      <w:pPr>
        <w:adjustRightInd w:val="0"/>
        <w:snapToGrid w:val="0"/>
        <w:spacing w:line="500" w:lineRule="exact"/>
        <w:ind w:firstLine="560" w:firstLineChars="200"/>
        <w:rPr>
          <w:sz w:val="28"/>
          <w:szCs w:val="28"/>
        </w:rPr>
      </w:pPr>
      <w:r>
        <w:rPr>
          <w:rFonts w:hint="eastAsia"/>
          <w:sz w:val="28"/>
          <w:szCs w:val="28"/>
        </w:rPr>
        <w:t>评标采用综合评分法，评标委员会对满足招标文件实质要求的投标文件，按照本章规定的程序和方法进行评审，并按总得分由高到低顺序推荐中标候选人。</w:t>
      </w:r>
    </w:p>
    <w:p w14:paraId="3DD2205D">
      <w:pPr>
        <w:adjustRightInd w:val="0"/>
        <w:snapToGrid w:val="0"/>
        <w:spacing w:line="500" w:lineRule="exact"/>
        <w:rPr>
          <w:rFonts w:ascii="楷体" w:hAnsi="楷体" w:eastAsia="楷体"/>
          <w:b/>
          <w:sz w:val="28"/>
          <w:szCs w:val="28"/>
        </w:rPr>
      </w:pPr>
      <w:r>
        <w:rPr>
          <w:rFonts w:hint="eastAsia" w:ascii="楷体" w:hAnsi="楷体" w:eastAsia="楷体"/>
          <w:b/>
          <w:sz w:val="28"/>
          <w:szCs w:val="28"/>
        </w:rPr>
        <w:t>2.2初步评审</w:t>
      </w:r>
    </w:p>
    <w:p w14:paraId="039A6E57">
      <w:pPr>
        <w:adjustRightInd w:val="0"/>
        <w:snapToGrid w:val="0"/>
        <w:spacing w:line="500" w:lineRule="exact"/>
        <w:ind w:firstLine="560" w:firstLineChars="200"/>
        <w:rPr>
          <w:rFonts w:ascii="宋体" w:hAnsi="宋体"/>
          <w:sz w:val="28"/>
          <w:szCs w:val="28"/>
        </w:rPr>
      </w:pPr>
      <w:r>
        <w:rPr>
          <w:rFonts w:hint="eastAsia" w:ascii="宋体" w:hAnsi="宋体"/>
          <w:sz w:val="28"/>
          <w:szCs w:val="28"/>
        </w:rPr>
        <w:t>2.2.1评标委员会对通过资格审查的投标人进行初步评审。</w:t>
      </w:r>
    </w:p>
    <w:p w14:paraId="55D4E58C">
      <w:pPr>
        <w:pStyle w:val="6"/>
        <w:adjustRightInd w:val="0"/>
        <w:snapToGrid w:val="0"/>
        <w:spacing w:line="500" w:lineRule="exact"/>
        <w:ind w:firstLine="560" w:firstLineChars="200"/>
        <w:rPr>
          <w:rFonts w:ascii="宋体" w:hAnsi="宋体"/>
          <w:sz w:val="28"/>
          <w:szCs w:val="28"/>
        </w:rPr>
      </w:pPr>
      <w:r>
        <w:rPr>
          <w:rFonts w:hint="eastAsia" w:asciiTheme="minorEastAsia" w:hAnsiTheme="minorEastAsia" w:eastAsiaTheme="minorEastAsia"/>
          <w:sz w:val="28"/>
          <w:szCs w:val="28"/>
        </w:rPr>
        <w:t>2.2.2初步评审的内容为投标文件的符合性评审。</w:t>
      </w:r>
      <w:r>
        <w:rPr>
          <w:rFonts w:hint="eastAsia" w:ascii="宋体" w:hAnsi="宋体"/>
          <w:sz w:val="28"/>
          <w:szCs w:val="28"/>
        </w:rPr>
        <w:t>符合性评审的内容及标准：见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72DA5513">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2.3详细评审</w:t>
      </w:r>
    </w:p>
    <w:p w14:paraId="1E8A5D3A">
      <w:pPr>
        <w:pStyle w:val="6"/>
        <w:adjustRightInd w:val="0"/>
        <w:snapToGrid w:val="0"/>
        <w:spacing w:line="500" w:lineRule="exact"/>
        <w:ind w:firstLine="560" w:firstLineChars="200"/>
        <w:rPr>
          <w:rFonts w:ascii="宋体" w:hAnsi="宋体"/>
          <w:sz w:val="28"/>
          <w:szCs w:val="28"/>
        </w:rPr>
      </w:pPr>
      <w:r>
        <w:rPr>
          <w:rFonts w:hint="eastAsia" w:ascii="宋体" w:hAnsi="宋体"/>
          <w:sz w:val="28"/>
          <w:szCs w:val="28"/>
        </w:rPr>
        <w:t>2.3.1评标委员会对通过初步评审的投标人进行详细评审。</w:t>
      </w:r>
    </w:p>
    <w:p w14:paraId="75CCC81A">
      <w:pPr>
        <w:pStyle w:val="6"/>
        <w:adjustRightInd w:val="0"/>
        <w:snapToGrid w:val="0"/>
        <w:spacing w:line="500" w:lineRule="exact"/>
        <w:ind w:firstLine="560" w:firstLineChars="200"/>
        <w:rPr>
          <w:rFonts w:ascii="宋体" w:hAnsi="宋体"/>
          <w:sz w:val="28"/>
          <w:szCs w:val="28"/>
        </w:rPr>
      </w:pPr>
      <w:r>
        <w:rPr>
          <w:rFonts w:hint="eastAsia" w:ascii="宋体" w:hAnsi="宋体"/>
          <w:sz w:val="28"/>
          <w:szCs w:val="28"/>
        </w:rPr>
        <w:t>2.3.2详细评审的内容及标准：见</w:t>
      </w:r>
      <w:r>
        <w:rPr>
          <w:rFonts w:hint="eastAsia" w:asciiTheme="minorEastAsia" w:hAnsiTheme="minorEastAsia" w:eastAsiaTheme="minorEastAsia"/>
          <w:sz w:val="28"/>
          <w:szCs w:val="28"/>
        </w:rPr>
        <w:t>资格审查和评标办法</w:t>
      </w:r>
      <w:r>
        <w:rPr>
          <w:rFonts w:hint="eastAsia" w:ascii="宋体" w:hAnsi="宋体"/>
          <w:sz w:val="28"/>
          <w:szCs w:val="28"/>
        </w:rPr>
        <w:t>前附表。</w:t>
      </w:r>
    </w:p>
    <w:p w14:paraId="7954EECD">
      <w:pPr>
        <w:pStyle w:val="6"/>
        <w:adjustRightInd w:val="0"/>
        <w:snapToGrid w:val="0"/>
        <w:spacing w:line="500" w:lineRule="exact"/>
        <w:ind w:firstLine="560" w:firstLineChars="200"/>
        <w:rPr>
          <w:rFonts w:ascii="宋体" w:hAnsi="宋体"/>
          <w:sz w:val="28"/>
          <w:szCs w:val="28"/>
        </w:rPr>
      </w:pPr>
      <w:r>
        <w:rPr>
          <w:rFonts w:hint="eastAsia" w:ascii="宋体" w:hAnsi="宋体"/>
          <w:sz w:val="28"/>
          <w:szCs w:val="28"/>
        </w:rPr>
        <w:t>2.3.3因落实政府采购政策进行价格调整的，以调整后的价格计算评标基准价和投标报价。</w:t>
      </w:r>
    </w:p>
    <w:p w14:paraId="402FB80D">
      <w:pPr>
        <w:adjustRightInd w:val="0"/>
        <w:snapToGrid w:val="0"/>
        <w:spacing w:line="500" w:lineRule="exact"/>
        <w:rPr>
          <w:rFonts w:ascii="楷体" w:hAnsi="楷体" w:eastAsia="楷体"/>
          <w:b/>
          <w:sz w:val="28"/>
          <w:szCs w:val="28"/>
        </w:rPr>
      </w:pPr>
      <w:bookmarkStart w:id="241" w:name="_Toc426469924"/>
      <w:r>
        <w:rPr>
          <w:rFonts w:hint="eastAsia" w:ascii="楷体" w:hAnsi="楷体" w:eastAsia="楷体"/>
          <w:b/>
          <w:sz w:val="28"/>
          <w:szCs w:val="28"/>
        </w:rPr>
        <w:t>2.4</w:t>
      </w:r>
      <w:r>
        <w:rPr>
          <w:rFonts w:hint="eastAsia" w:ascii="楷体" w:hAnsi="楷体" w:eastAsia="楷体" w:cs="宋体"/>
          <w:b/>
          <w:sz w:val="28"/>
          <w:szCs w:val="28"/>
        </w:rPr>
        <w:t>评标报告</w:t>
      </w:r>
    </w:p>
    <w:p w14:paraId="57342B3D">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4</w:t>
      </w:r>
      <w:r>
        <w:rPr>
          <w:rFonts w:ascii="宋体" w:hAnsi="宋体"/>
          <w:sz w:val="28"/>
          <w:szCs w:val="28"/>
        </w:rPr>
        <w:t>.1详细评审结束后，</w:t>
      </w:r>
      <w:r>
        <w:rPr>
          <w:rFonts w:hint="eastAsia" w:ascii="宋体" w:hAnsi="宋体"/>
          <w:sz w:val="28"/>
          <w:szCs w:val="28"/>
        </w:rPr>
        <w:t>评标委员会负责编写评标报告。</w:t>
      </w:r>
    </w:p>
    <w:p w14:paraId="62C4EF42">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2.4.2采购代理机构自评审结束之日起2个工作日内将评标报告送交招标人。</w:t>
      </w:r>
    </w:p>
    <w:p w14:paraId="1C616C04">
      <w:pPr>
        <w:adjustRightInd w:val="0"/>
        <w:snapToGrid w:val="0"/>
        <w:spacing w:line="500" w:lineRule="exact"/>
        <w:rPr>
          <w:rFonts w:ascii="楷体" w:hAnsi="楷体" w:eastAsia="楷体"/>
          <w:b/>
          <w:sz w:val="28"/>
          <w:szCs w:val="28"/>
        </w:rPr>
      </w:pPr>
      <w:r>
        <w:rPr>
          <w:rFonts w:hint="eastAsia" w:ascii="楷体" w:hAnsi="楷体" w:eastAsia="楷体"/>
          <w:b/>
          <w:sz w:val="28"/>
          <w:szCs w:val="28"/>
        </w:rPr>
        <w:t>2.5</w:t>
      </w:r>
      <w:r>
        <w:rPr>
          <w:rFonts w:hint="eastAsia" w:ascii="楷体" w:hAnsi="楷体" w:eastAsia="楷体" w:cs="宋体"/>
          <w:b/>
          <w:sz w:val="28"/>
          <w:szCs w:val="28"/>
        </w:rPr>
        <w:t>澄清、说明或补正</w:t>
      </w:r>
    </w:p>
    <w:p w14:paraId="55F73486">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.1</w:t>
      </w:r>
      <w:r>
        <w:rPr>
          <w:rFonts w:hint="eastAsia" w:ascii="宋体" w:hAnsi="宋体"/>
          <w:sz w:val="28"/>
          <w:szCs w:val="28"/>
        </w:rPr>
        <w:t>评标委员会在评审过程中，可以要求投标人对投标文件中含义不明确、同类问题表述不一致或者有明显文字和计算错误的内容等作出必要的澄清、说明或者更正。</w:t>
      </w:r>
    </w:p>
    <w:p w14:paraId="232CCAF8">
      <w:pPr>
        <w:adjustRightInd w:val="0"/>
        <w:snapToGrid w:val="0"/>
        <w:spacing w:line="50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.2</w:t>
      </w:r>
      <w:r>
        <w:rPr>
          <w:rFonts w:hint="eastAsia" w:ascii="宋体" w:hAnsi="宋体"/>
          <w:sz w:val="28"/>
          <w:szCs w:val="28"/>
        </w:rPr>
        <w:t>评标委员会要求投标人澄清、说明或者更正投标文件应当以书面形式作出。</w:t>
      </w:r>
    </w:p>
    <w:p w14:paraId="17611B8B">
      <w:pPr>
        <w:adjustRightInd w:val="0"/>
        <w:snapToGrid w:val="0"/>
        <w:spacing w:line="500" w:lineRule="exact"/>
        <w:ind w:firstLine="560" w:firstLineChars="200"/>
        <w:rPr>
          <w:rFonts w:ascii="宋体"/>
          <w:sz w:val="28"/>
          <w:szCs w:val="28"/>
        </w:rPr>
      </w:pPr>
      <w:r>
        <w:rPr>
          <w:rFonts w:hint="eastAsia" w:ascii="宋体" w:hAnsi="宋体"/>
          <w:sz w:val="28"/>
          <w:szCs w:val="28"/>
        </w:rPr>
        <w:t>2.5.3投标人的澄清、说明或者更正应当由法定代表人或其授权代表签字或者加盖公章。由授权代表签字的，应当附法定代表人授权书。投标人的书面澄清材料作为投标文件的补充。</w:t>
      </w:r>
    </w:p>
    <w:p w14:paraId="54CC1279">
      <w:pPr>
        <w:adjustRightInd w:val="0"/>
        <w:snapToGrid w:val="0"/>
        <w:spacing w:line="500" w:lineRule="exact"/>
        <w:ind w:firstLine="560" w:firstLineChars="200"/>
        <w:rPr>
          <w:rFonts w:ascii="宋体" w:hAnsi="宋体"/>
          <w:sz w:val="28"/>
          <w:szCs w:val="28"/>
        </w:rPr>
      </w:pPr>
      <w:r>
        <w:rPr>
          <w:rFonts w:hint="eastAsia" w:ascii="宋体" w:hAnsi="宋体"/>
          <w:sz w:val="28"/>
          <w:szCs w:val="28"/>
        </w:rPr>
        <w:t>2.5.4投标人的澄清、说明或者更正不得超出投标文件的范围或者改变投标文件的实质性内容。</w:t>
      </w:r>
    </w:p>
    <w:p w14:paraId="077B1A43">
      <w:pPr>
        <w:adjustRightInd w:val="0"/>
        <w:snapToGrid w:val="0"/>
        <w:spacing w:line="500" w:lineRule="exact"/>
        <w:ind w:firstLine="560" w:firstLineChars="200"/>
        <w:rPr>
          <w:rFonts w:ascii="宋体"/>
          <w:sz w:val="28"/>
          <w:szCs w:val="28"/>
        </w:rPr>
      </w:pPr>
      <w:r>
        <w:rPr>
          <w:rFonts w:ascii="宋体" w:hAnsi="宋体"/>
          <w:sz w:val="28"/>
          <w:szCs w:val="28"/>
        </w:rPr>
        <w:t>2.</w:t>
      </w:r>
      <w:r>
        <w:rPr>
          <w:rFonts w:hint="eastAsia" w:ascii="宋体" w:hAnsi="宋体"/>
          <w:sz w:val="28"/>
          <w:szCs w:val="28"/>
        </w:rPr>
        <w:t>5</w:t>
      </w:r>
      <w:r>
        <w:rPr>
          <w:rFonts w:ascii="宋体" w:hAnsi="宋体"/>
          <w:sz w:val="28"/>
          <w:szCs w:val="28"/>
        </w:rPr>
        <w:t>.</w:t>
      </w:r>
      <w:r>
        <w:rPr>
          <w:rFonts w:hint="eastAsia" w:ascii="宋体" w:hAnsi="宋体"/>
          <w:sz w:val="28"/>
          <w:szCs w:val="28"/>
        </w:rPr>
        <w:t>5评标委员会不得接受投标人主动提出的澄清、说明或补正。</w:t>
      </w:r>
    </w:p>
    <w:p w14:paraId="42815D1A">
      <w:pPr>
        <w:adjustRightInd w:val="0"/>
        <w:snapToGrid w:val="0"/>
        <w:spacing w:line="500" w:lineRule="exact"/>
        <w:rPr>
          <w:rFonts w:ascii="黑体" w:hAnsi="黑体" w:eastAsia="黑体"/>
          <w:b/>
          <w:sz w:val="28"/>
          <w:szCs w:val="28"/>
        </w:rPr>
      </w:pPr>
      <w:r>
        <w:rPr>
          <w:rFonts w:hint="eastAsia" w:ascii="黑体" w:hAnsi="黑体" w:eastAsia="黑体"/>
          <w:b/>
          <w:sz w:val="28"/>
          <w:szCs w:val="28"/>
        </w:rPr>
        <w:t>3.评标过程中特殊情况的处理规定</w:t>
      </w:r>
    </w:p>
    <w:p w14:paraId="7CC7305F">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3.1投标报价的修正</w:t>
      </w:r>
    </w:p>
    <w:p w14:paraId="538D2D43">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投标文件报价出现前后不一致的，按照下列规定修正： </w:t>
      </w:r>
    </w:p>
    <w:p w14:paraId="57AF865B">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（1）投标文件中开标一览表内容与投标文件中相应内容不一致的，以开标一览表为准； </w:t>
      </w:r>
    </w:p>
    <w:p w14:paraId="55135B13">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（2）大写金额和小写金额不一致的，以大写金额为准； </w:t>
      </w:r>
    </w:p>
    <w:p w14:paraId="6EEB3F04">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（3）单价金额小数点或者百分比有明显错位的，以开标一览表的总价为准，并修改单价； </w:t>
      </w:r>
    </w:p>
    <w:p w14:paraId="4C9A9480">
      <w:pPr>
        <w:pStyle w:val="6"/>
        <w:adjustRightInd w:val="0"/>
        <w:snapToGrid w:val="0"/>
        <w:spacing w:line="440" w:lineRule="exact"/>
        <w:ind w:firstLine="280" w:firstLineChars="100"/>
        <w:rPr>
          <w:rFonts w:asciiTheme="minorEastAsia" w:hAnsiTheme="minorEastAsia" w:eastAsiaTheme="minorEastAsia"/>
          <w:sz w:val="28"/>
          <w:szCs w:val="28"/>
        </w:rPr>
      </w:pPr>
      <w:r>
        <w:rPr>
          <w:rFonts w:hint="eastAsia" w:asciiTheme="minorEastAsia" w:hAnsiTheme="minorEastAsia" w:eastAsiaTheme="minorEastAsia"/>
          <w:sz w:val="28"/>
          <w:szCs w:val="28"/>
        </w:rPr>
        <w:t>（4）总价金额与按单价汇总金额不一致的，以单价金额计算结果为准。 </w:t>
      </w:r>
    </w:p>
    <w:p w14:paraId="042F0353">
      <w:pPr>
        <w:pStyle w:val="6"/>
        <w:adjustRightInd w:val="0"/>
        <w:snapToGrid w:val="0"/>
        <w:spacing w:line="44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同时出现两种以上不一致的，按照前款规定的顺序修正。修正后的报价按照本章第2.5条的规定经投标人确认后产生约束力，投标人不确认的，其投标无效。</w:t>
      </w:r>
    </w:p>
    <w:p w14:paraId="0A94E96B">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3.2评标委员会成员的更换</w:t>
      </w:r>
    </w:p>
    <w:p w14:paraId="2C20F50B">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3.2.1评标过程中，因评标委员会成员缺席、回避或者健康等特殊原因导致评标委员会组成不符合规定的，招标人将依法补足后继续评标。被更换的评标委员会成员所作出的评标意见无效。 </w:t>
      </w:r>
    </w:p>
    <w:p w14:paraId="03A35C3C">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3.2.2无法及时补足评标委员会成员的，招标人将停止评标活动，封存所有投标文件和开标、评标资料，依法重新组建评标委员会进行评标。原评标委员会所作出的评标意见无效。</w:t>
      </w:r>
    </w:p>
    <w:p w14:paraId="4B4C108C">
      <w:pPr>
        <w:pStyle w:val="6"/>
        <w:spacing w:line="500" w:lineRule="exact"/>
        <w:rPr>
          <w:rFonts w:hint="eastAsia" w:ascii="楷体" w:hAnsi="楷体" w:eastAsia="楷体"/>
          <w:b/>
          <w:sz w:val="28"/>
          <w:szCs w:val="28"/>
        </w:rPr>
      </w:pPr>
      <w:r>
        <w:rPr>
          <w:rFonts w:hint="eastAsia" w:ascii="楷体" w:hAnsi="楷体" w:eastAsia="楷体"/>
          <w:b/>
          <w:sz w:val="28"/>
          <w:szCs w:val="28"/>
        </w:rPr>
        <w:t>3.3异常低价审查规定</w:t>
      </w:r>
    </w:p>
    <w:p w14:paraId="08E04C34">
      <w:pPr>
        <w:spacing w:line="500" w:lineRule="exact"/>
        <w:ind w:firstLine="560"/>
        <w:rPr>
          <w:rFonts w:hint="eastAsia" w:ascii="宋体" w:hAnsi="宋体"/>
          <w:sz w:val="28"/>
          <w:szCs w:val="28"/>
        </w:rPr>
      </w:pPr>
      <w:r>
        <w:rPr>
          <w:rFonts w:hint="eastAsia" w:ascii="宋体" w:hAnsi="宋体"/>
          <w:sz w:val="28"/>
          <w:szCs w:val="28"/>
        </w:rPr>
        <w:t xml:space="preserve">（1）评审过程中出现下列情形之一的，评审委员会应当启动异常低价投标（响应）审查程序： </w:t>
      </w:r>
    </w:p>
    <w:p w14:paraId="12F5B279">
      <w:pPr>
        <w:spacing w:line="500" w:lineRule="exact"/>
        <w:ind w:firstLine="560"/>
        <w:rPr>
          <w:rFonts w:hint="eastAsia" w:ascii="宋体" w:hAnsi="宋体"/>
          <w:sz w:val="28"/>
          <w:szCs w:val="28"/>
        </w:rPr>
      </w:pPr>
      <w:r>
        <w:rPr>
          <w:rFonts w:hint="eastAsia" w:ascii="宋体" w:hAnsi="宋体"/>
          <w:sz w:val="28"/>
          <w:szCs w:val="28"/>
        </w:rPr>
        <w:t xml:space="preserve">①投标（响应）报价低于采购项目预算50%的，即投标（响应）报价&lt;采购项目预算×50% ； </w:t>
      </w:r>
    </w:p>
    <w:p w14:paraId="6E4C51E6">
      <w:pPr>
        <w:spacing w:line="500" w:lineRule="exact"/>
        <w:ind w:firstLine="560"/>
        <w:rPr>
          <w:rFonts w:hint="eastAsia" w:ascii="宋体" w:hAnsi="宋体"/>
          <w:sz w:val="28"/>
          <w:szCs w:val="28"/>
        </w:rPr>
      </w:pPr>
      <w:r>
        <w:rPr>
          <w:rFonts w:hint="eastAsia" w:ascii="宋体" w:hAnsi="宋体"/>
          <w:sz w:val="28"/>
          <w:szCs w:val="28"/>
        </w:rPr>
        <w:t xml:space="preserve">②投标（响应）报价低于采购项目最高限价45%的，即投标（响应）报价&lt;采购项目最高限价×45% ； </w:t>
      </w:r>
    </w:p>
    <w:p w14:paraId="7D436B95">
      <w:pPr>
        <w:spacing w:line="500" w:lineRule="exact"/>
        <w:ind w:firstLine="560"/>
        <w:rPr>
          <w:rFonts w:hint="eastAsia" w:ascii="宋体" w:hAnsi="宋体"/>
          <w:sz w:val="28"/>
          <w:szCs w:val="28"/>
        </w:rPr>
      </w:pPr>
      <w:r>
        <w:rPr>
          <w:rFonts w:hint="eastAsia" w:ascii="宋体" w:hAnsi="宋体"/>
          <w:sz w:val="28"/>
          <w:szCs w:val="28"/>
        </w:rPr>
        <w:t xml:space="preserve">③评审委员会认定的供应商报价过低、有可能影响产品质量或者不能诚信履约的其他情形。 </w:t>
      </w:r>
    </w:p>
    <w:p w14:paraId="53D20CE0">
      <w:pPr>
        <w:spacing w:line="500" w:lineRule="exact"/>
        <w:ind w:firstLine="560"/>
        <w:rPr>
          <w:rFonts w:hint="eastAsia" w:ascii="宋体" w:hAnsi="宋体"/>
          <w:sz w:val="28"/>
          <w:szCs w:val="28"/>
        </w:rPr>
      </w:pPr>
      <w:r>
        <w:rPr>
          <w:rFonts w:hint="eastAsia" w:ascii="宋体" w:hAnsi="宋体"/>
          <w:sz w:val="28"/>
          <w:szCs w:val="28"/>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p>
    <w:p w14:paraId="3299AA96">
      <w:pPr>
        <w:pStyle w:val="6"/>
        <w:adjustRightInd w:val="0"/>
        <w:snapToGrid w:val="0"/>
        <w:spacing w:line="500" w:lineRule="exact"/>
        <w:rPr>
          <w:rFonts w:ascii="楷体" w:hAnsi="楷体" w:eastAsia="楷体" w:cs="宋体"/>
          <w:b/>
          <w:sz w:val="28"/>
          <w:szCs w:val="28"/>
        </w:rPr>
      </w:pPr>
      <w:r>
        <w:rPr>
          <w:rFonts w:hint="eastAsia" w:ascii="楷体" w:hAnsi="楷体" w:eastAsia="楷体"/>
          <w:b/>
          <w:sz w:val="28"/>
          <w:szCs w:val="28"/>
        </w:rPr>
        <w:t>3.4</w:t>
      </w:r>
      <w:r>
        <w:rPr>
          <w:rFonts w:hint="eastAsia" w:ascii="楷体" w:hAnsi="楷体" w:eastAsia="楷体" w:cs="宋体"/>
          <w:b/>
          <w:sz w:val="28"/>
          <w:szCs w:val="28"/>
        </w:rPr>
        <w:t>争议解决</w:t>
      </w:r>
    </w:p>
    <w:p w14:paraId="2DD09614">
      <w:pPr>
        <w:pStyle w:val="6"/>
        <w:adjustRightInd w:val="0"/>
        <w:snapToGrid w:val="0"/>
        <w:spacing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评标委员会成员对需要共同认定的事项存在争议的，按照少数服从多数的原则作出结论。持不同意见的评标委员会成员须在评标报告上签署不同意见及理由。</w:t>
      </w:r>
    </w:p>
    <w:p w14:paraId="4CE663B4">
      <w:pPr>
        <w:adjustRightInd w:val="0"/>
        <w:snapToGrid w:val="0"/>
        <w:spacing w:line="500" w:lineRule="exact"/>
        <w:rPr>
          <w:rFonts w:ascii="楷体" w:hAnsi="楷体" w:eastAsia="楷体"/>
          <w:b/>
          <w:sz w:val="28"/>
          <w:szCs w:val="28"/>
        </w:rPr>
      </w:pPr>
      <w:r>
        <w:rPr>
          <w:rFonts w:hint="eastAsia" w:ascii="楷体" w:hAnsi="楷体" w:eastAsia="楷体"/>
          <w:b/>
          <w:sz w:val="28"/>
          <w:szCs w:val="28"/>
        </w:rPr>
        <w:t>3.5评标终止</w:t>
      </w:r>
    </w:p>
    <w:p w14:paraId="1332D741">
      <w:pPr>
        <w:pStyle w:val="6"/>
        <w:adjustRightInd w:val="0"/>
        <w:snapToGrid w:val="0"/>
        <w:spacing w:line="500" w:lineRule="exact"/>
        <w:ind w:firstLine="560" w:firstLineChars="200"/>
        <w:rPr>
          <w:sz w:val="28"/>
          <w:szCs w:val="28"/>
        </w:rPr>
      </w:pPr>
      <w:r>
        <w:rPr>
          <w:rFonts w:hint="eastAsia"/>
          <w:sz w:val="28"/>
          <w:szCs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0DDDA173">
      <w:pPr>
        <w:adjustRightInd w:val="0"/>
        <w:snapToGrid w:val="0"/>
        <w:spacing w:line="500" w:lineRule="exact"/>
        <w:rPr>
          <w:rFonts w:ascii="楷体" w:hAnsi="楷体" w:eastAsia="楷体"/>
          <w:b/>
          <w:sz w:val="28"/>
          <w:szCs w:val="28"/>
        </w:rPr>
      </w:pPr>
      <w:r>
        <w:rPr>
          <w:rFonts w:hint="eastAsia" w:ascii="楷体" w:hAnsi="楷体" w:eastAsia="楷体"/>
          <w:b/>
          <w:sz w:val="28"/>
          <w:szCs w:val="28"/>
        </w:rPr>
        <w:t>3.6修改评标结果</w:t>
      </w:r>
    </w:p>
    <w:p w14:paraId="00714EF1">
      <w:pPr>
        <w:adjustRightInd w:val="0"/>
        <w:snapToGrid w:val="0"/>
        <w:spacing w:line="500" w:lineRule="exact"/>
        <w:ind w:firstLine="560" w:firstLineChars="200"/>
        <w:rPr>
          <w:rFonts w:ascii="宋体"/>
          <w:sz w:val="28"/>
          <w:szCs w:val="28"/>
        </w:rPr>
      </w:pPr>
      <w:r>
        <w:rPr>
          <w:rFonts w:hint="eastAsia" w:ascii="宋体" w:hAnsi="宋体"/>
          <w:sz w:val="28"/>
          <w:szCs w:val="28"/>
        </w:rPr>
        <w:t>评审组长负责汇总和核对各</w:t>
      </w:r>
      <w:r>
        <w:rPr>
          <w:rFonts w:hint="eastAsia" w:asciiTheme="minorEastAsia" w:hAnsiTheme="minorEastAsia" w:eastAsiaTheme="minorEastAsia"/>
          <w:sz w:val="28"/>
          <w:szCs w:val="28"/>
        </w:rPr>
        <w:t>评标委员会成员</w:t>
      </w:r>
      <w:r>
        <w:rPr>
          <w:rFonts w:hint="eastAsia" w:ascii="宋体" w:hAnsi="宋体"/>
          <w:sz w:val="28"/>
          <w:szCs w:val="28"/>
        </w:rPr>
        <w:t>的评审结果。在评标报告签署前，出现下列情形之一的，可以要求其当场修改评审结果：</w:t>
      </w:r>
    </w:p>
    <w:p w14:paraId="25966AEA">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）分值汇总计算错误；</w:t>
      </w:r>
    </w:p>
    <w:p w14:paraId="7AF2AA80">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）分项评分超出评分标准范围；</w:t>
      </w:r>
    </w:p>
    <w:p w14:paraId="62DE710F">
      <w:pPr>
        <w:adjustRightInd w:val="0"/>
        <w:snapToGrid w:val="0"/>
        <w:spacing w:line="500" w:lineRule="exact"/>
        <w:ind w:firstLine="560" w:firstLineChars="200"/>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）评标委员会成员对客观评审因素评分不一致；</w:t>
      </w:r>
    </w:p>
    <w:p w14:paraId="5D46D840">
      <w:pPr>
        <w:pStyle w:val="6"/>
        <w:adjustRightInd w:val="0"/>
        <w:snapToGrid w:val="0"/>
        <w:spacing w:line="500" w:lineRule="exact"/>
        <w:ind w:firstLine="560" w:firstLineChars="200"/>
      </w:pPr>
      <w:r>
        <w:rPr>
          <w:rFonts w:hint="eastAsia" w:ascii="宋体" w:hAnsi="宋体"/>
          <w:sz w:val="28"/>
          <w:szCs w:val="28"/>
        </w:rPr>
        <w:t>（</w:t>
      </w:r>
      <w:r>
        <w:rPr>
          <w:rFonts w:ascii="宋体" w:hAnsi="宋体"/>
          <w:sz w:val="28"/>
          <w:szCs w:val="28"/>
        </w:rPr>
        <w:t>4</w:t>
      </w:r>
      <w:r>
        <w:rPr>
          <w:rFonts w:hint="eastAsia" w:ascii="宋体" w:hAnsi="宋体"/>
          <w:sz w:val="28"/>
          <w:szCs w:val="28"/>
        </w:rPr>
        <w:t>）经评标委员会认定评分畸高或畸低。</w:t>
      </w:r>
    </w:p>
    <w:p w14:paraId="6508DFE9">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3.7 投标人总分相同</w:t>
      </w:r>
    </w:p>
    <w:p w14:paraId="1092FB42">
      <w:pPr>
        <w:adjustRightInd w:val="0"/>
        <w:snapToGrid w:val="0"/>
        <w:spacing w:line="500" w:lineRule="exact"/>
        <w:ind w:firstLine="560" w:firstLineChars="200"/>
        <w:rPr>
          <w:rFonts w:ascii="宋体"/>
          <w:sz w:val="28"/>
          <w:szCs w:val="28"/>
        </w:rPr>
      </w:pPr>
      <w:r>
        <w:rPr>
          <w:rFonts w:hint="eastAsia" w:ascii="宋体" w:hAnsi="宋体"/>
          <w:sz w:val="28"/>
          <w:szCs w:val="28"/>
        </w:rPr>
        <w:t>投标人总分相同时，投标报价低的排名优先；如投标报价也相同，由招标人抽签确定排序。</w:t>
      </w:r>
    </w:p>
    <w:p w14:paraId="09F584D4">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3.8评标报告签署</w:t>
      </w:r>
    </w:p>
    <w:p w14:paraId="0A2F458D">
      <w:pPr>
        <w:adjustRightInd w:val="0"/>
        <w:snapToGrid w:val="0"/>
        <w:spacing w:line="500" w:lineRule="exact"/>
        <w:ind w:firstLine="560" w:firstLineChars="200"/>
        <w:rPr>
          <w:rFonts w:ascii="宋体" w:hAnsi="宋体"/>
          <w:sz w:val="28"/>
          <w:szCs w:val="28"/>
        </w:rPr>
      </w:pPr>
      <w:r>
        <w:rPr>
          <w:rFonts w:hint="eastAsia" w:ascii="宋体" w:hAnsi="宋体"/>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307C24F8">
      <w:pPr>
        <w:pStyle w:val="6"/>
        <w:adjustRightInd w:val="0"/>
        <w:snapToGrid w:val="0"/>
        <w:spacing w:line="500" w:lineRule="exact"/>
        <w:rPr>
          <w:rFonts w:ascii="黑体" w:hAnsi="黑体" w:eastAsia="黑体"/>
          <w:b/>
          <w:sz w:val="28"/>
          <w:szCs w:val="28"/>
        </w:rPr>
      </w:pPr>
      <w:r>
        <w:rPr>
          <w:rFonts w:hint="eastAsia" w:ascii="黑体" w:hAnsi="黑体" w:eastAsia="黑体"/>
          <w:b/>
          <w:sz w:val="28"/>
          <w:szCs w:val="28"/>
        </w:rPr>
        <w:t>4.判定无效投标的规定</w:t>
      </w:r>
    </w:p>
    <w:p w14:paraId="63E11C74">
      <w:pPr>
        <w:pStyle w:val="6"/>
        <w:adjustRightInd w:val="0"/>
        <w:snapToGrid w:val="0"/>
        <w:spacing w:line="500" w:lineRule="exact"/>
        <w:rPr>
          <w:rFonts w:ascii="楷体" w:hAnsi="楷体" w:eastAsia="楷体"/>
          <w:b/>
          <w:sz w:val="28"/>
          <w:szCs w:val="28"/>
        </w:rPr>
      </w:pPr>
      <w:r>
        <w:rPr>
          <w:rFonts w:hint="eastAsia" w:ascii="楷体" w:hAnsi="楷体" w:eastAsia="楷体"/>
          <w:b/>
          <w:sz w:val="28"/>
          <w:szCs w:val="28"/>
        </w:rPr>
        <w:t>4.1开标过程中，有下列情形之一的，作无效投标处理。</w:t>
      </w:r>
    </w:p>
    <w:p w14:paraId="2541B61F">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（1）投标文件无法解密；</w:t>
      </w:r>
    </w:p>
    <w:p w14:paraId="722F9744">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（2）投标文件未在规定的时间内解密成功。</w:t>
      </w:r>
    </w:p>
    <w:p w14:paraId="56F67763">
      <w:pPr>
        <w:pStyle w:val="6"/>
        <w:adjustRightInd w:val="0"/>
        <w:snapToGrid w:val="0"/>
        <w:spacing w:after="0" w:line="500" w:lineRule="exact"/>
        <w:rPr>
          <w:rFonts w:ascii="楷体" w:hAnsi="楷体" w:eastAsia="楷体"/>
          <w:b/>
          <w:spacing w:val="-14"/>
          <w:sz w:val="28"/>
          <w:szCs w:val="28"/>
        </w:rPr>
      </w:pPr>
      <w:r>
        <w:rPr>
          <w:rFonts w:hint="eastAsia" w:ascii="楷体" w:hAnsi="楷体" w:eastAsia="楷体"/>
          <w:b/>
          <w:sz w:val="28"/>
          <w:szCs w:val="28"/>
        </w:rPr>
        <w:t>4.2资格审查过程中，</w:t>
      </w:r>
      <w:r>
        <w:rPr>
          <w:rFonts w:hint="eastAsia" w:ascii="楷体" w:hAnsi="楷体" w:eastAsia="楷体"/>
          <w:b/>
          <w:spacing w:val="-14"/>
          <w:sz w:val="28"/>
          <w:szCs w:val="28"/>
        </w:rPr>
        <w:t>投标文件出现不符合1.2项评审标准之一的，作无效标处理。</w:t>
      </w:r>
    </w:p>
    <w:p w14:paraId="753F35FE">
      <w:pPr>
        <w:pStyle w:val="6"/>
        <w:adjustRightInd w:val="0"/>
        <w:snapToGrid w:val="0"/>
        <w:spacing w:after="0" w:line="500" w:lineRule="exact"/>
        <w:rPr>
          <w:rFonts w:ascii="楷体" w:hAnsi="楷体" w:eastAsia="楷体"/>
          <w:b/>
          <w:spacing w:val="-14"/>
          <w:sz w:val="28"/>
          <w:szCs w:val="28"/>
        </w:rPr>
      </w:pPr>
      <w:r>
        <w:rPr>
          <w:rFonts w:hint="eastAsia" w:ascii="楷体" w:hAnsi="楷体" w:eastAsia="楷体"/>
          <w:b/>
          <w:spacing w:val="-14"/>
          <w:sz w:val="28"/>
          <w:szCs w:val="28"/>
        </w:rPr>
        <w:t>4.3</w:t>
      </w:r>
      <w:r>
        <w:rPr>
          <w:rFonts w:hint="eastAsia" w:ascii="楷体" w:hAnsi="楷体" w:eastAsia="楷体"/>
          <w:b/>
          <w:sz w:val="28"/>
          <w:szCs w:val="28"/>
        </w:rPr>
        <w:t>评标过程中，有下列情形之一的，作无效投标处理。</w:t>
      </w:r>
    </w:p>
    <w:p w14:paraId="79D25FDA">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（1）符合性评审时，投标文件出现不符合</w:t>
      </w:r>
      <w:r>
        <w:rPr>
          <w:rFonts w:asciiTheme="minorEastAsia" w:hAnsiTheme="minorEastAsia" w:eastAsiaTheme="minorEastAsia"/>
          <w:sz w:val="28"/>
          <w:szCs w:val="28"/>
        </w:rPr>
        <w:t>2.</w:t>
      </w:r>
      <w:r>
        <w:rPr>
          <w:rFonts w:hint="eastAsia" w:asciiTheme="minorEastAsia" w:hAnsiTheme="minorEastAsia" w:eastAsiaTheme="minorEastAsia"/>
          <w:sz w:val="28"/>
          <w:szCs w:val="28"/>
        </w:rPr>
        <w:t>2.2项评审标准之一的；</w:t>
      </w:r>
    </w:p>
    <w:p w14:paraId="484B3A8D">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（2）投标人不确认评标委员会提出的投标报价修正意见的；</w:t>
      </w:r>
    </w:p>
    <w:p w14:paraId="55159B1B">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（3）未按照评标委员会要求提供书面说明及相关证明材料证明其报价合理性的；</w:t>
      </w:r>
    </w:p>
    <w:p w14:paraId="7C606E93">
      <w:pPr>
        <w:pStyle w:val="6"/>
        <w:adjustRightInd w:val="0"/>
        <w:snapToGrid w:val="0"/>
        <w:spacing w:after="0" w:line="500" w:lineRule="exact"/>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（4）投标文件含有采购人不能接受的附加条件的。</w:t>
      </w:r>
    </w:p>
    <w:p w14:paraId="4AF0ABA6">
      <w:pPr>
        <w:pStyle w:val="6"/>
        <w:adjustRightInd w:val="0"/>
        <w:snapToGrid w:val="0"/>
        <w:spacing w:after="0" w:line="500" w:lineRule="exact"/>
        <w:rPr>
          <w:rFonts w:ascii="楷体" w:hAnsi="楷体" w:eastAsia="楷体"/>
          <w:b/>
          <w:sz w:val="28"/>
          <w:szCs w:val="28"/>
        </w:rPr>
      </w:pPr>
      <w:r>
        <w:rPr>
          <w:rFonts w:hint="eastAsia" w:ascii="楷体" w:hAnsi="楷体" w:eastAsia="楷体"/>
          <w:b/>
          <w:sz w:val="28"/>
          <w:szCs w:val="28"/>
        </w:rPr>
        <w:t>4.4法律、法规规定的其他投标无效情形。</w:t>
      </w:r>
      <w:bookmarkEnd w:id="232"/>
      <w:bookmarkEnd w:id="233"/>
      <w:bookmarkEnd w:id="234"/>
      <w:bookmarkEnd w:id="235"/>
      <w:bookmarkEnd w:id="236"/>
      <w:bookmarkEnd w:id="237"/>
      <w:bookmarkEnd w:id="238"/>
      <w:bookmarkEnd w:id="239"/>
      <w:bookmarkEnd w:id="241"/>
    </w:p>
    <w:p w14:paraId="05BE96F3">
      <w:pPr>
        <w:pStyle w:val="6"/>
      </w:pPr>
    </w:p>
    <w:p w14:paraId="3551C966">
      <w:pPr>
        <w:pStyle w:val="6"/>
      </w:pPr>
    </w:p>
    <w:p w14:paraId="1D8B6EE5">
      <w:pPr>
        <w:widowControl/>
        <w:jc w:val="left"/>
        <w:rPr>
          <w:rFonts w:ascii="黑体" w:hAnsi="宋体" w:eastAsia="黑体"/>
          <w:b/>
          <w:sz w:val="32"/>
          <w:szCs w:val="20"/>
        </w:rPr>
      </w:pPr>
      <w:bookmarkStart w:id="242" w:name="_Toc390098908"/>
      <w:bookmarkStart w:id="243" w:name="_Toc383626062"/>
      <w:bookmarkStart w:id="244" w:name="_Toc383623741"/>
      <w:bookmarkStart w:id="245" w:name="_Toc383698715"/>
      <w:bookmarkStart w:id="246" w:name="_Toc383679815"/>
      <w:bookmarkStart w:id="247" w:name="_Toc383624013"/>
      <w:bookmarkStart w:id="248" w:name="_Toc425871381"/>
      <w:bookmarkStart w:id="249" w:name="_Toc390099086"/>
      <w:bookmarkStart w:id="250" w:name="_Toc390246973"/>
      <w:r>
        <w:rPr>
          <w:rFonts w:ascii="黑体" w:hAnsi="宋体" w:eastAsia="黑体"/>
          <w:b/>
        </w:rPr>
        <w:br w:type="page"/>
      </w:r>
    </w:p>
    <w:p w14:paraId="315090D0">
      <w:pPr>
        <w:pStyle w:val="12"/>
        <w:adjustRightInd w:val="0"/>
        <w:snapToGrid w:val="0"/>
        <w:spacing w:line="500" w:lineRule="exact"/>
        <w:ind w:left="0" w:firstLine="0"/>
        <w:jc w:val="center"/>
        <w:outlineLvl w:val="0"/>
        <w:rPr>
          <w:rFonts w:ascii="黑体" w:hAnsi="宋体" w:eastAsia="黑体"/>
          <w:b/>
          <w:color w:val="auto"/>
        </w:rPr>
      </w:pPr>
      <w:r>
        <w:rPr>
          <w:rFonts w:hint="eastAsia" w:ascii="黑体" w:hAnsi="宋体" w:eastAsia="黑体"/>
          <w:b/>
          <w:color w:val="auto"/>
        </w:rPr>
        <w:t>第四章</w:t>
      </w:r>
      <w:r>
        <w:rPr>
          <w:rFonts w:ascii="黑体" w:hAnsi="宋体" w:eastAsia="黑体"/>
          <w:b/>
          <w:color w:val="auto"/>
        </w:rPr>
        <w:t xml:space="preserve"> </w:t>
      </w:r>
      <w:r>
        <w:rPr>
          <w:rFonts w:hint="eastAsia" w:ascii="黑体" w:hAnsi="宋体" w:eastAsia="黑体"/>
          <w:b/>
          <w:color w:val="auto"/>
        </w:rPr>
        <w:t>合同条款</w:t>
      </w:r>
      <w:bookmarkStart w:id="251" w:name="_Toc382813933"/>
      <w:bookmarkStart w:id="252" w:name="_Toc16938559"/>
      <w:bookmarkStart w:id="253" w:name="_Toc382811181"/>
      <w:bookmarkStart w:id="254" w:name="_Toc120614222"/>
      <w:bookmarkStart w:id="255" w:name="_Toc282446296"/>
      <w:bookmarkStart w:id="256" w:name="_Toc288030332"/>
      <w:bookmarkStart w:id="257" w:name="_Toc382812295"/>
      <w:bookmarkStart w:id="258" w:name="_Toc382814014"/>
      <w:bookmarkStart w:id="259" w:name="_Toc20823315"/>
      <w:bookmarkStart w:id="260" w:name="_Toc383587505"/>
      <w:bookmarkStart w:id="261" w:name="_Toc513029243"/>
      <w:bookmarkStart w:id="262" w:name="_Toc382812484"/>
      <w:bookmarkStart w:id="263" w:name="_Toc382811586"/>
      <w:bookmarkStart w:id="264" w:name="_Toc383698694"/>
      <w:bookmarkStart w:id="265" w:name="_Toc390246952"/>
      <w:bookmarkStart w:id="266" w:name="_Toc383623720"/>
      <w:bookmarkStart w:id="267" w:name="_Toc390099065"/>
      <w:bookmarkStart w:id="268" w:name="_Toc425871366"/>
      <w:bookmarkStart w:id="269" w:name="_Toc383679794"/>
      <w:bookmarkStart w:id="270" w:name="_Toc383623992"/>
      <w:bookmarkStart w:id="271" w:name="_Toc390098887"/>
      <w:bookmarkStart w:id="272" w:name="_Toc383626041"/>
    </w:p>
    <w:p w14:paraId="7436072C">
      <w:pPr>
        <w:pStyle w:val="12"/>
        <w:adjustRightInd w:val="0"/>
        <w:snapToGrid w:val="0"/>
        <w:spacing w:line="500" w:lineRule="exact"/>
        <w:ind w:left="0" w:firstLine="0"/>
        <w:outlineLvl w:val="0"/>
        <w:rPr>
          <w:rFonts w:ascii="宋体" w:hAnsi="宋体" w:eastAsia="宋体"/>
          <w:b/>
          <w:bCs/>
          <w:color w:val="000000"/>
          <w:szCs w:val="28"/>
        </w:rPr>
      </w:pPr>
    </w:p>
    <w:p w14:paraId="4F09CFC4">
      <w:pPr>
        <w:pStyle w:val="12"/>
        <w:adjustRightInd w:val="0"/>
        <w:snapToGrid w:val="0"/>
        <w:spacing w:line="500" w:lineRule="exact"/>
        <w:ind w:left="0" w:firstLine="0"/>
        <w:outlineLvl w:val="0"/>
        <w:rPr>
          <w:rFonts w:ascii="宋体" w:hAnsi="宋体" w:eastAsia="宋体"/>
          <w:b/>
          <w:bCs/>
          <w:color w:val="000000"/>
          <w:szCs w:val="28"/>
        </w:rPr>
      </w:pPr>
      <w:r>
        <w:rPr>
          <w:rFonts w:hint="eastAsia" w:ascii="宋体" w:hAnsi="宋体" w:eastAsia="宋体"/>
          <w:b/>
          <w:bCs/>
          <w:color w:val="000000"/>
          <w:szCs w:val="28"/>
        </w:rPr>
        <w:t>一、通用合同条款</w:t>
      </w:r>
      <w:bookmarkEnd w:id="251"/>
      <w:bookmarkEnd w:id="252"/>
      <w:bookmarkEnd w:id="253"/>
      <w:bookmarkEnd w:id="254"/>
      <w:bookmarkEnd w:id="255"/>
      <w:bookmarkEnd w:id="256"/>
      <w:bookmarkEnd w:id="257"/>
      <w:bookmarkEnd w:id="258"/>
      <w:bookmarkEnd w:id="259"/>
      <w:bookmarkEnd w:id="260"/>
      <w:bookmarkEnd w:id="261"/>
      <w:bookmarkEnd w:id="262"/>
      <w:bookmarkEnd w:id="263"/>
      <w:r>
        <w:rPr>
          <w:rFonts w:hint="eastAsia" w:ascii="宋体" w:hAnsi="宋体" w:eastAsia="宋体"/>
          <w:b/>
          <w:bCs/>
          <w:color w:val="000000"/>
          <w:szCs w:val="28"/>
        </w:rPr>
        <w:t>部分</w:t>
      </w:r>
      <w:bookmarkEnd w:id="264"/>
      <w:bookmarkEnd w:id="265"/>
      <w:bookmarkEnd w:id="266"/>
      <w:bookmarkEnd w:id="267"/>
      <w:bookmarkEnd w:id="268"/>
      <w:bookmarkEnd w:id="269"/>
      <w:bookmarkEnd w:id="270"/>
      <w:bookmarkEnd w:id="271"/>
      <w:bookmarkEnd w:id="272"/>
    </w:p>
    <w:p w14:paraId="3E64E9F8">
      <w:pPr>
        <w:adjustRightInd w:val="0"/>
        <w:snapToGrid w:val="0"/>
        <w:spacing w:line="500" w:lineRule="exact"/>
        <w:ind w:firstLine="560" w:firstLineChars="200"/>
        <w:jc w:val="left"/>
        <w:rPr>
          <w:rFonts w:ascii="宋体" w:hAnsi="宋体" w:cs="宋体"/>
          <w:sz w:val="28"/>
          <w:szCs w:val="21"/>
        </w:rPr>
      </w:pPr>
      <w:bookmarkStart w:id="273" w:name="_Toc382813935"/>
      <w:bookmarkStart w:id="274" w:name="_Toc382811183"/>
      <w:bookmarkStart w:id="275" w:name="_Toc390246953"/>
      <w:bookmarkStart w:id="276" w:name="_Toc383679795"/>
      <w:bookmarkStart w:id="277" w:name="_Toc382811588"/>
      <w:bookmarkStart w:id="278" w:name="_Toc282446298"/>
      <w:bookmarkStart w:id="279" w:name="_Toc383698695"/>
      <w:bookmarkStart w:id="280" w:name="_Toc288030334"/>
      <w:bookmarkStart w:id="281" w:name="_Toc382812486"/>
      <w:bookmarkStart w:id="282" w:name="_Toc383623721"/>
      <w:bookmarkStart w:id="283" w:name="_Toc383623993"/>
      <w:bookmarkStart w:id="284" w:name="_Toc382812297"/>
      <w:bookmarkStart w:id="285" w:name="_Toc383626042"/>
      <w:bookmarkStart w:id="286" w:name="_Toc16938561"/>
      <w:bookmarkStart w:id="287" w:name="_Toc425871367"/>
      <w:bookmarkStart w:id="288" w:name="_Toc383587507"/>
      <w:bookmarkStart w:id="289" w:name="_Toc382814016"/>
      <w:bookmarkStart w:id="290" w:name="_Toc120614224"/>
      <w:bookmarkStart w:id="291" w:name="_Toc390098888"/>
      <w:bookmarkStart w:id="292" w:name="_Toc390099066"/>
      <w:bookmarkStart w:id="293" w:name="_Toc20823317"/>
      <w:bookmarkStart w:id="294" w:name="_Toc513029245"/>
      <w:r>
        <w:rPr>
          <w:rFonts w:hint="eastAsia" w:ascii="宋体" w:hAnsi="宋体" w:cs="宋体"/>
          <w:sz w:val="28"/>
          <w:szCs w:val="21"/>
        </w:rPr>
        <w:t>1、定义</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58776FCC">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本合同中的下列术语应解释为：</w:t>
      </w:r>
    </w:p>
    <w:p w14:paraId="0E161C47">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（1）“合同”系指买方与卖方签署的、合同格式中载明的买方与卖方所达成的协议，包括所有的附件、附录和构成合同的所有文件。</w:t>
      </w:r>
    </w:p>
    <w:p w14:paraId="532D855A">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（2）“合同价”系指根据合同规定，卖方在正确地完全履行合同义务后买方应支付给卖方的价格。</w:t>
      </w:r>
    </w:p>
    <w:p w14:paraId="2A84240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（3）“服务”系指根据合同规定卖方承担与供货有关所有的辅助服务，如运输、保险以及其它的伴随服务，比如安装、调试、测试、提供技术服务、培训和其他所有的卖方应承担的义务。</w:t>
      </w:r>
    </w:p>
    <w:p w14:paraId="78692F7C">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（4）“买方”系指购买服务的</w:t>
      </w:r>
      <w:r>
        <w:rPr>
          <w:rFonts w:hint="eastAsia" w:ascii="宋体" w:hAnsi="宋体" w:cs="宋体"/>
          <w:sz w:val="28"/>
          <w:szCs w:val="21"/>
          <w:u w:val="single"/>
        </w:rPr>
        <w:t xml:space="preserve">              </w:t>
      </w:r>
      <w:r>
        <w:rPr>
          <w:rFonts w:hint="eastAsia" w:ascii="宋体" w:hAnsi="宋体" w:cs="宋体"/>
          <w:sz w:val="28"/>
          <w:szCs w:val="21"/>
        </w:rPr>
        <w:t>。</w:t>
      </w:r>
    </w:p>
    <w:p w14:paraId="0A68A9DD">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（5）“卖方”系指提供服务的中标供应商。</w:t>
      </w:r>
    </w:p>
    <w:p w14:paraId="61E1DC72">
      <w:pPr>
        <w:adjustRightInd w:val="0"/>
        <w:snapToGrid w:val="0"/>
        <w:spacing w:line="500" w:lineRule="exact"/>
        <w:ind w:firstLine="560" w:firstLineChars="200"/>
        <w:jc w:val="left"/>
        <w:rPr>
          <w:rFonts w:ascii="宋体" w:hAnsi="宋体" w:cs="宋体"/>
          <w:sz w:val="28"/>
          <w:szCs w:val="21"/>
          <w:u w:val="single"/>
        </w:rPr>
      </w:pPr>
      <w:r>
        <w:rPr>
          <w:rFonts w:hint="eastAsia" w:ascii="宋体" w:hAnsi="宋体" w:cs="宋体"/>
          <w:sz w:val="28"/>
          <w:szCs w:val="21"/>
        </w:rPr>
        <w:t>（6）“采购人”系指购买服务的</w:t>
      </w:r>
      <w:r>
        <w:rPr>
          <w:rFonts w:hint="eastAsia" w:ascii="宋体" w:hAnsi="宋体" w:cs="宋体"/>
          <w:sz w:val="28"/>
          <w:szCs w:val="21"/>
          <w:u w:val="single"/>
        </w:rPr>
        <w:t xml:space="preserve">               </w:t>
      </w:r>
      <w:r>
        <w:rPr>
          <w:rFonts w:hint="eastAsia" w:ascii="宋体" w:hAnsi="宋体" w:cs="宋体"/>
          <w:sz w:val="28"/>
          <w:szCs w:val="21"/>
        </w:rPr>
        <w:t>。</w:t>
      </w:r>
    </w:p>
    <w:p w14:paraId="2AD6AC31">
      <w:pPr>
        <w:adjustRightInd w:val="0"/>
        <w:snapToGrid w:val="0"/>
        <w:spacing w:line="500" w:lineRule="exact"/>
        <w:ind w:firstLine="560" w:firstLineChars="200"/>
        <w:jc w:val="left"/>
        <w:rPr>
          <w:rFonts w:ascii="宋体" w:hAnsi="宋体" w:cs="宋体"/>
          <w:sz w:val="28"/>
          <w:szCs w:val="21"/>
        </w:rPr>
      </w:pPr>
      <w:bookmarkStart w:id="295" w:name="_Toc288030335"/>
      <w:bookmarkStart w:id="296" w:name="_Toc120614225"/>
      <w:bookmarkStart w:id="297" w:name="_Toc513029246"/>
      <w:bookmarkStart w:id="298" w:name="_Toc20823318"/>
      <w:bookmarkStart w:id="299" w:name="_Toc16938562"/>
      <w:bookmarkStart w:id="300" w:name="_Toc282446299"/>
      <w:bookmarkStart w:id="301" w:name="_Toc382814017"/>
      <w:bookmarkStart w:id="302" w:name="_Toc382812487"/>
      <w:bookmarkStart w:id="303" w:name="_Toc383623722"/>
      <w:bookmarkStart w:id="304" w:name="_Toc383679796"/>
      <w:bookmarkStart w:id="305" w:name="_Toc382812298"/>
      <w:bookmarkStart w:id="306" w:name="_Toc382811184"/>
      <w:bookmarkStart w:id="307" w:name="_Toc382813936"/>
      <w:bookmarkStart w:id="308" w:name="_Toc383698696"/>
      <w:bookmarkStart w:id="309" w:name="_Toc390246954"/>
      <w:bookmarkStart w:id="310" w:name="_Toc383587508"/>
      <w:bookmarkStart w:id="311" w:name="_Toc390098889"/>
      <w:bookmarkStart w:id="312" w:name="_Toc425871368"/>
      <w:bookmarkStart w:id="313" w:name="_Toc383623994"/>
      <w:bookmarkStart w:id="314" w:name="_Toc382811589"/>
      <w:bookmarkStart w:id="315" w:name="_Toc390099067"/>
      <w:bookmarkStart w:id="316" w:name="_Toc383626043"/>
      <w:r>
        <w:rPr>
          <w:rFonts w:hint="eastAsia" w:ascii="宋体" w:hAnsi="宋体" w:cs="宋体"/>
          <w:sz w:val="28"/>
          <w:szCs w:val="21"/>
        </w:rPr>
        <w:t>2、技术</w:t>
      </w:r>
      <w:bookmarkEnd w:id="295"/>
      <w:bookmarkEnd w:id="296"/>
      <w:bookmarkEnd w:id="297"/>
      <w:bookmarkEnd w:id="298"/>
      <w:bookmarkEnd w:id="299"/>
      <w:bookmarkEnd w:id="300"/>
      <w:r>
        <w:rPr>
          <w:rFonts w:hint="eastAsia" w:ascii="宋体" w:hAnsi="宋体" w:cs="宋体"/>
          <w:sz w:val="28"/>
          <w:szCs w:val="21"/>
        </w:rPr>
        <w:t>规范</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0B4DDA0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卖方所提供服务的技术规格、内容应与招标文件规定的业务要求相一致；若技术性能无相应说明，则按国家有关部门最新颁布的标准及规范为准。</w:t>
      </w:r>
    </w:p>
    <w:p w14:paraId="7B4355B5">
      <w:pPr>
        <w:adjustRightInd w:val="0"/>
        <w:snapToGrid w:val="0"/>
        <w:spacing w:line="500" w:lineRule="exact"/>
        <w:ind w:firstLine="560" w:firstLineChars="200"/>
        <w:jc w:val="left"/>
        <w:rPr>
          <w:rFonts w:ascii="宋体" w:hAnsi="宋体" w:cs="宋体"/>
          <w:sz w:val="28"/>
          <w:szCs w:val="21"/>
        </w:rPr>
      </w:pPr>
      <w:bookmarkStart w:id="317" w:name="_Toc390099068"/>
      <w:bookmarkStart w:id="318" w:name="_Toc383679797"/>
      <w:bookmarkStart w:id="319" w:name="_Toc382812299"/>
      <w:bookmarkStart w:id="320" w:name="_Toc425871369"/>
      <w:bookmarkStart w:id="321" w:name="_Toc513029247"/>
      <w:bookmarkStart w:id="322" w:name="_Toc120614226"/>
      <w:bookmarkStart w:id="323" w:name="_Toc20823319"/>
      <w:bookmarkStart w:id="324" w:name="_Toc382814018"/>
      <w:bookmarkStart w:id="325" w:name="_Toc16938563"/>
      <w:bookmarkStart w:id="326" w:name="_Toc282446300"/>
      <w:bookmarkStart w:id="327" w:name="_Toc383698697"/>
      <w:bookmarkStart w:id="328" w:name="_Toc382813937"/>
      <w:bookmarkStart w:id="329" w:name="_Toc390098890"/>
      <w:bookmarkStart w:id="330" w:name="_Toc382812488"/>
      <w:bookmarkStart w:id="331" w:name="_Toc288030336"/>
      <w:bookmarkStart w:id="332" w:name="_Toc383623723"/>
      <w:bookmarkStart w:id="333" w:name="_Toc383623995"/>
      <w:bookmarkStart w:id="334" w:name="_Toc382811185"/>
      <w:bookmarkStart w:id="335" w:name="_Toc390246955"/>
      <w:bookmarkStart w:id="336" w:name="_Toc383626044"/>
      <w:bookmarkStart w:id="337" w:name="_Toc383587509"/>
      <w:bookmarkStart w:id="338" w:name="_Toc382811590"/>
      <w:r>
        <w:rPr>
          <w:rFonts w:hint="eastAsia" w:ascii="宋体" w:hAnsi="宋体" w:cs="宋体"/>
          <w:sz w:val="28"/>
          <w:szCs w:val="21"/>
        </w:rPr>
        <w:t>3、专利权及版权</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578A7F27">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p>
    <w:p w14:paraId="5213F384">
      <w:pPr>
        <w:adjustRightInd w:val="0"/>
        <w:snapToGrid w:val="0"/>
        <w:spacing w:line="500" w:lineRule="exact"/>
        <w:ind w:firstLine="560" w:firstLineChars="200"/>
        <w:jc w:val="left"/>
        <w:rPr>
          <w:rFonts w:ascii="宋体" w:hAnsi="宋体" w:cs="宋体"/>
          <w:sz w:val="28"/>
          <w:szCs w:val="21"/>
        </w:rPr>
      </w:pPr>
      <w:bookmarkStart w:id="339" w:name="_Toc288030337"/>
      <w:bookmarkStart w:id="340" w:name="_Toc120614227"/>
      <w:bookmarkStart w:id="341" w:name="_Toc16938564"/>
      <w:bookmarkStart w:id="342" w:name="_Toc20823320"/>
      <w:bookmarkStart w:id="343" w:name="_Toc513029248"/>
      <w:bookmarkStart w:id="344" w:name="_Toc282446301"/>
      <w:bookmarkStart w:id="345" w:name="_Toc382813938"/>
      <w:bookmarkStart w:id="346" w:name="_Toc390246956"/>
      <w:bookmarkStart w:id="347" w:name="_Toc383587510"/>
      <w:bookmarkStart w:id="348" w:name="_Toc382814019"/>
      <w:bookmarkStart w:id="349" w:name="_Toc383623724"/>
      <w:bookmarkStart w:id="350" w:name="_Toc383623996"/>
      <w:bookmarkStart w:id="351" w:name="_Toc383679798"/>
      <w:bookmarkStart w:id="352" w:name="_Toc390099069"/>
      <w:bookmarkStart w:id="353" w:name="_Toc425871370"/>
      <w:bookmarkStart w:id="354" w:name="_Toc383626045"/>
      <w:bookmarkStart w:id="355" w:name="_Toc383698698"/>
      <w:bookmarkStart w:id="356" w:name="_Toc390098891"/>
      <w:r>
        <w:rPr>
          <w:rFonts w:hint="eastAsia" w:ascii="宋体" w:hAnsi="宋体" w:cs="宋体"/>
          <w:sz w:val="28"/>
          <w:szCs w:val="21"/>
        </w:rPr>
        <w:t>4、</w:t>
      </w:r>
      <w:bookmarkEnd w:id="339"/>
      <w:bookmarkEnd w:id="340"/>
      <w:bookmarkEnd w:id="341"/>
      <w:bookmarkEnd w:id="342"/>
      <w:bookmarkEnd w:id="343"/>
      <w:bookmarkEnd w:id="344"/>
      <w:bookmarkStart w:id="357" w:name="_Toc120614229"/>
      <w:bookmarkStart w:id="358" w:name="_Toc288030339"/>
      <w:bookmarkStart w:id="359" w:name="_Toc20823322"/>
      <w:bookmarkStart w:id="360" w:name="_Toc16938566"/>
      <w:bookmarkStart w:id="361" w:name="_Toc513029250"/>
      <w:bookmarkStart w:id="362" w:name="_Toc282446303"/>
      <w:r>
        <w:rPr>
          <w:rFonts w:hint="eastAsia" w:ascii="宋体" w:hAnsi="宋体" w:cs="宋体"/>
          <w:sz w:val="28"/>
          <w:szCs w:val="21"/>
        </w:rPr>
        <w:t>付款</w:t>
      </w:r>
      <w:bookmarkEnd w:id="357"/>
      <w:bookmarkEnd w:id="358"/>
      <w:bookmarkEnd w:id="359"/>
      <w:bookmarkEnd w:id="360"/>
      <w:bookmarkEnd w:id="361"/>
      <w:bookmarkEnd w:id="362"/>
      <w:r>
        <w:rPr>
          <w:rFonts w:hint="eastAsia" w:ascii="宋体" w:hAnsi="宋体" w:cs="宋体"/>
          <w:sz w:val="28"/>
          <w:szCs w:val="21"/>
        </w:rPr>
        <w:t>方式</w:t>
      </w:r>
      <w:bookmarkEnd w:id="345"/>
      <w:bookmarkEnd w:id="346"/>
      <w:bookmarkEnd w:id="347"/>
      <w:bookmarkEnd w:id="348"/>
      <w:bookmarkEnd w:id="349"/>
      <w:bookmarkEnd w:id="350"/>
      <w:bookmarkEnd w:id="351"/>
      <w:bookmarkEnd w:id="352"/>
      <w:bookmarkEnd w:id="353"/>
      <w:bookmarkEnd w:id="354"/>
      <w:bookmarkEnd w:id="355"/>
      <w:bookmarkEnd w:id="356"/>
    </w:p>
    <w:p w14:paraId="6B5766F6">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4.1本合同以人民币付款。</w:t>
      </w:r>
    </w:p>
    <w:p w14:paraId="30FFD716">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4.2付款方式见合同专用条款。</w:t>
      </w:r>
    </w:p>
    <w:p w14:paraId="75BCFEBC">
      <w:pPr>
        <w:adjustRightInd w:val="0"/>
        <w:snapToGrid w:val="0"/>
        <w:spacing w:line="500" w:lineRule="exact"/>
        <w:ind w:firstLine="560" w:firstLineChars="200"/>
        <w:jc w:val="left"/>
        <w:rPr>
          <w:rFonts w:ascii="宋体" w:hAnsi="宋体" w:cs="宋体"/>
          <w:sz w:val="28"/>
          <w:szCs w:val="21"/>
        </w:rPr>
      </w:pPr>
      <w:bookmarkStart w:id="363" w:name="_Toc120614230"/>
      <w:bookmarkStart w:id="364" w:name="_Toc383623725"/>
      <w:bookmarkStart w:id="365" w:name="_Toc383679799"/>
      <w:bookmarkStart w:id="366" w:name="_Toc383626046"/>
      <w:bookmarkStart w:id="367" w:name="_Toc282446304"/>
      <w:bookmarkStart w:id="368" w:name="_Toc390246957"/>
      <w:bookmarkStart w:id="369" w:name="_Toc16938567"/>
      <w:bookmarkStart w:id="370" w:name="_Toc382812300"/>
      <w:bookmarkStart w:id="371" w:name="_Toc382814020"/>
      <w:bookmarkStart w:id="372" w:name="_Toc383698699"/>
      <w:bookmarkStart w:id="373" w:name="_Toc383587511"/>
      <w:bookmarkStart w:id="374" w:name="_Toc382811186"/>
      <w:bookmarkStart w:id="375" w:name="_Toc513029251"/>
      <w:bookmarkStart w:id="376" w:name="_Toc390098892"/>
      <w:bookmarkStart w:id="377" w:name="_Toc288030340"/>
      <w:bookmarkStart w:id="378" w:name="_Toc20823323"/>
      <w:bookmarkStart w:id="379" w:name="_Toc382813939"/>
      <w:bookmarkStart w:id="380" w:name="_Toc383623997"/>
      <w:bookmarkStart w:id="381" w:name="_Toc425871371"/>
      <w:bookmarkStart w:id="382" w:name="_Toc382811591"/>
      <w:bookmarkStart w:id="383" w:name="_Toc390099070"/>
      <w:bookmarkStart w:id="384" w:name="_Toc382812489"/>
      <w:r>
        <w:rPr>
          <w:rFonts w:hint="eastAsia" w:ascii="宋体" w:hAnsi="宋体" w:cs="宋体"/>
          <w:sz w:val="28"/>
          <w:szCs w:val="21"/>
        </w:rPr>
        <w:t>5、伴随服务</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6DD935B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5.1卖方应按照投标文件的承诺和合同中所附的服务承诺提供服务。</w:t>
      </w:r>
    </w:p>
    <w:p w14:paraId="7B85B835">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5.2 除本章第5.1条规定外，卖方还应提供下列服务：</w:t>
      </w:r>
    </w:p>
    <w:p w14:paraId="2F541F17">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 服务的现场质量管理与监督；</w:t>
      </w:r>
    </w:p>
    <w:p w14:paraId="16B26B1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 提供服务和维护所需的工具；</w:t>
      </w:r>
    </w:p>
    <w:p w14:paraId="1BB123E4">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(3)在合同中卖方承诺的期限内对所提供服务实施运行监督、维护，但前提条件是该服务并不能免除卖方在质量保证期内应承担的义务；</w:t>
      </w:r>
    </w:p>
    <w:p w14:paraId="167BC7CF">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(4) 对服务人员进行培训。</w:t>
      </w:r>
    </w:p>
    <w:p w14:paraId="7A3A6FF1">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5.3 伴随服务的费用应含在合同价中，不单独进行支付。</w:t>
      </w:r>
    </w:p>
    <w:p w14:paraId="7687BDBD">
      <w:pPr>
        <w:adjustRightInd w:val="0"/>
        <w:snapToGrid w:val="0"/>
        <w:spacing w:line="500" w:lineRule="exact"/>
        <w:ind w:firstLine="560" w:firstLineChars="200"/>
        <w:jc w:val="left"/>
        <w:rPr>
          <w:rFonts w:ascii="宋体" w:hAnsi="宋体" w:cs="宋体"/>
          <w:sz w:val="28"/>
          <w:szCs w:val="21"/>
        </w:rPr>
      </w:pPr>
      <w:bookmarkStart w:id="385" w:name="_Toc382811187"/>
      <w:bookmarkStart w:id="386" w:name="_Toc16938568"/>
      <w:bookmarkStart w:id="387" w:name="_Toc383698700"/>
      <w:bookmarkStart w:id="388" w:name="_Toc383623726"/>
      <w:bookmarkStart w:id="389" w:name="_Toc120614231"/>
      <w:bookmarkStart w:id="390" w:name="_Toc382812301"/>
      <w:bookmarkStart w:id="391" w:name="_Toc282446305"/>
      <w:bookmarkStart w:id="392" w:name="_Toc382811592"/>
      <w:bookmarkStart w:id="393" w:name="_Toc383626047"/>
      <w:bookmarkStart w:id="394" w:name="_Toc390099071"/>
      <w:bookmarkStart w:id="395" w:name="_Toc425871372"/>
      <w:bookmarkStart w:id="396" w:name="_Toc390098893"/>
      <w:bookmarkStart w:id="397" w:name="_Toc382814021"/>
      <w:bookmarkStart w:id="398" w:name="_Toc20823324"/>
      <w:bookmarkStart w:id="399" w:name="_Toc382812490"/>
      <w:bookmarkStart w:id="400" w:name="_Toc382813940"/>
      <w:bookmarkStart w:id="401" w:name="_Toc288030341"/>
      <w:bookmarkStart w:id="402" w:name="_Toc513029252"/>
      <w:bookmarkStart w:id="403" w:name="_Toc390246958"/>
      <w:bookmarkStart w:id="404" w:name="_Toc383679800"/>
      <w:bookmarkStart w:id="405" w:name="_Toc383587512"/>
      <w:bookmarkStart w:id="406" w:name="_Toc383623998"/>
      <w:r>
        <w:rPr>
          <w:rFonts w:hint="eastAsia" w:ascii="宋体" w:hAnsi="宋体" w:cs="宋体"/>
          <w:sz w:val="28"/>
          <w:szCs w:val="21"/>
        </w:rPr>
        <w:t>6、质量保证</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578C2736">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6.1投标人所提供服务必须遵守各种国家和部颁标准及有关规定。</w:t>
      </w:r>
    </w:p>
    <w:p w14:paraId="0D06360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6.2投标人所提供服务必须达到本招标文件中规定的要求。</w:t>
      </w:r>
    </w:p>
    <w:p w14:paraId="6567DF6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6.3履行本合同的过程中，确因在现有水平和条件下难以克服的技术困难，导致部分或全部达不到招标规定的服务标准，乙方应当承担违约责任。</w:t>
      </w:r>
    </w:p>
    <w:p w14:paraId="6991652A">
      <w:pPr>
        <w:adjustRightInd w:val="0"/>
        <w:snapToGrid w:val="0"/>
        <w:spacing w:line="500" w:lineRule="exact"/>
        <w:ind w:firstLine="560" w:firstLineChars="200"/>
        <w:jc w:val="left"/>
        <w:rPr>
          <w:rFonts w:ascii="宋体" w:hAnsi="宋体" w:cs="宋体"/>
          <w:sz w:val="28"/>
          <w:szCs w:val="21"/>
        </w:rPr>
      </w:pPr>
      <w:bookmarkStart w:id="407" w:name="_Toc16938570"/>
      <w:bookmarkStart w:id="408" w:name="_Toc282446307"/>
      <w:bookmarkStart w:id="409" w:name="_Toc20823326"/>
      <w:bookmarkStart w:id="410" w:name="_Toc120614233"/>
      <w:bookmarkStart w:id="411" w:name="_Toc288030343"/>
      <w:bookmarkStart w:id="412" w:name="_Toc513029254"/>
      <w:bookmarkStart w:id="413" w:name="_Toc399853485"/>
      <w:bookmarkStart w:id="414" w:name="_Toc399658018"/>
      <w:bookmarkStart w:id="415" w:name="_Toc399228176"/>
      <w:bookmarkStart w:id="416" w:name="_Toc399227843"/>
      <w:bookmarkStart w:id="417" w:name="_Toc425871373"/>
      <w:r>
        <w:rPr>
          <w:rFonts w:hint="eastAsia" w:ascii="宋体" w:hAnsi="宋体" w:cs="宋体"/>
          <w:sz w:val="28"/>
          <w:szCs w:val="21"/>
        </w:rPr>
        <w:t>7、</w:t>
      </w:r>
      <w:bookmarkEnd w:id="407"/>
      <w:bookmarkEnd w:id="408"/>
      <w:bookmarkEnd w:id="409"/>
      <w:bookmarkEnd w:id="410"/>
      <w:bookmarkEnd w:id="411"/>
      <w:bookmarkEnd w:id="412"/>
      <w:bookmarkStart w:id="418" w:name="_Toc120614236"/>
      <w:bookmarkStart w:id="419" w:name="_Toc513029257"/>
      <w:bookmarkStart w:id="420" w:name="_Toc16938573"/>
      <w:bookmarkStart w:id="421" w:name="_Toc282446310"/>
      <w:bookmarkStart w:id="422" w:name="_Toc20823329"/>
      <w:bookmarkStart w:id="423" w:name="_Toc288030346"/>
      <w:r>
        <w:rPr>
          <w:rFonts w:hint="eastAsia" w:ascii="宋体" w:hAnsi="宋体" w:cs="宋体"/>
          <w:sz w:val="28"/>
          <w:szCs w:val="21"/>
        </w:rPr>
        <w:t>不可抗力</w:t>
      </w:r>
      <w:bookmarkEnd w:id="413"/>
      <w:bookmarkEnd w:id="414"/>
      <w:bookmarkEnd w:id="415"/>
      <w:bookmarkEnd w:id="416"/>
      <w:bookmarkEnd w:id="417"/>
      <w:bookmarkEnd w:id="418"/>
      <w:bookmarkEnd w:id="419"/>
      <w:bookmarkEnd w:id="420"/>
      <w:bookmarkEnd w:id="421"/>
      <w:bookmarkEnd w:id="422"/>
      <w:bookmarkEnd w:id="423"/>
    </w:p>
    <w:p w14:paraId="25651FDD">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7.1尽管有合同条款第11条、12条的规定，如果卖方因不可抗力而导致合同实施延误或不能履行合同义务的话，不应该被没收履约保证金，也不应该承担误期赔偿的责任。</w:t>
      </w:r>
    </w:p>
    <w:p w14:paraId="5E699469">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7.2本条所述的“不可抗力”系指那些卖方无法控制、不可预见的事件，但不包括卖方的违约或疏忽。这些事件包括：战争、严重火灾、洪水、台风、地震以及其它买方和卖方商定的事件。</w:t>
      </w:r>
    </w:p>
    <w:p w14:paraId="2FEE8A7F">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天以上时，买方有权终止与卖方的合同，买方也可以和卖方通过友好协商在合理的时间内达成进一步履行合同的协议。</w:t>
      </w:r>
    </w:p>
    <w:p w14:paraId="4E67FD63">
      <w:pPr>
        <w:adjustRightInd w:val="0"/>
        <w:snapToGrid w:val="0"/>
        <w:spacing w:line="500" w:lineRule="exact"/>
        <w:ind w:firstLine="560" w:firstLineChars="200"/>
        <w:jc w:val="left"/>
        <w:rPr>
          <w:rFonts w:ascii="宋体" w:hAnsi="宋体" w:cs="宋体"/>
          <w:sz w:val="28"/>
          <w:szCs w:val="21"/>
        </w:rPr>
      </w:pPr>
      <w:bookmarkStart w:id="424" w:name="_Toc16938574"/>
      <w:bookmarkStart w:id="425" w:name="_Toc20823330"/>
      <w:bookmarkStart w:id="426" w:name="_Toc399228177"/>
      <w:bookmarkStart w:id="427" w:name="_Toc288030347"/>
      <w:bookmarkStart w:id="428" w:name="_Toc513029258"/>
      <w:bookmarkStart w:id="429" w:name="_Toc282446311"/>
      <w:bookmarkStart w:id="430" w:name="_Toc399227844"/>
      <w:bookmarkStart w:id="431" w:name="_Toc120614237"/>
      <w:bookmarkStart w:id="432" w:name="_Toc425871374"/>
      <w:bookmarkStart w:id="433" w:name="_Toc399853486"/>
      <w:bookmarkStart w:id="434" w:name="_Toc399658019"/>
      <w:r>
        <w:rPr>
          <w:rFonts w:hint="eastAsia" w:ascii="宋体" w:hAnsi="宋体" w:cs="宋体"/>
          <w:sz w:val="28"/>
          <w:szCs w:val="21"/>
        </w:rPr>
        <w:t>8、税费</w:t>
      </w:r>
      <w:bookmarkEnd w:id="424"/>
      <w:bookmarkEnd w:id="425"/>
      <w:bookmarkEnd w:id="426"/>
      <w:bookmarkEnd w:id="427"/>
      <w:bookmarkEnd w:id="428"/>
      <w:bookmarkEnd w:id="429"/>
      <w:bookmarkEnd w:id="430"/>
      <w:bookmarkEnd w:id="431"/>
      <w:bookmarkEnd w:id="432"/>
      <w:bookmarkEnd w:id="433"/>
      <w:bookmarkEnd w:id="434"/>
    </w:p>
    <w:p w14:paraId="61FF99C1">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8.1本项目实施过程中发生的一切税费均由卖方负担。</w:t>
      </w:r>
    </w:p>
    <w:p w14:paraId="442069DA">
      <w:pPr>
        <w:adjustRightInd w:val="0"/>
        <w:snapToGrid w:val="0"/>
        <w:spacing w:line="500" w:lineRule="exact"/>
        <w:ind w:firstLine="560" w:firstLineChars="200"/>
        <w:jc w:val="left"/>
        <w:rPr>
          <w:rFonts w:ascii="宋体" w:hAnsi="宋体" w:cs="宋体"/>
          <w:sz w:val="28"/>
          <w:szCs w:val="21"/>
        </w:rPr>
      </w:pPr>
      <w:bookmarkStart w:id="435" w:name="_Toc282446312"/>
      <w:bookmarkStart w:id="436" w:name="_Toc288030348"/>
      <w:bookmarkStart w:id="437" w:name="_Toc399227845"/>
      <w:bookmarkStart w:id="438" w:name="_Toc513029259"/>
      <w:bookmarkStart w:id="439" w:name="_Toc16938575"/>
      <w:bookmarkStart w:id="440" w:name="_Toc399228178"/>
      <w:bookmarkStart w:id="441" w:name="_Toc120614238"/>
      <w:bookmarkStart w:id="442" w:name="_Toc425871375"/>
      <w:bookmarkStart w:id="443" w:name="_Toc399853487"/>
      <w:bookmarkStart w:id="444" w:name="_Toc399658020"/>
      <w:bookmarkStart w:id="445" w:name="_Toc20823331"/>
      <w:r>
        <w:rPr>
          <w:rFonts w:hint="eastAsia" w:ascii="宋体" w:hAnsi="宋体" w:cs="宋体"/>
          <w:sz w:val="28"/>
          <w:szCs w:val="21"/>
        </w:rPr>
        <w:t>9、履约保证金</w:t>
      </w:r>
      <w:bookmarkEnd w:id="435"/>
      <w:bookmarkEnd w:id="436"/>
      <w:bookmarkEnd w:id="437"/>
      <w:bookmarkEnd w:id="438"/>
      <w:bookmarkEnd w:id="439"/>
      <w:bookmarkEnd w:id="440"/>
      <w:bookmarkEnd w:id="441"/>
      <w:bookmarkEnd w:id="442"/>
      <w:bookmarkEnd w:id="443"/>
      <w:bookmarkEnd w:id="444"/>
      <w:bookmarkEnd w:id="445"/>
    </w:p>
    <w:p w14:paraId="3F296D0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9.1中标人与采购人签订政府采购合同前，须提交履约保证金，否则视为放弃中标，给采购人造成损失的，中标人还应当予以赔偿。</w:t>
      </w:r>
    </w:p>
    <w:p w14:paraId="1D9488FB">
      <w:pPr>
        <w:adjustRightInd w:val="0"/>
        <w:snapToGrid w:val="0"/>
        <w:spacing w:line="500" w:lineRule="exact"/>
        <w:ind w:firstLine="560" w:firstLineChars="200"/>
        <w:jc w:val="left"/>
        <w:rPr>
          <w:rFonts w:ascii="宋体" w:hAnsi="宋体" w:cs="宋体"/>
          <w:sz w:val="28"/>
          <w:szCs w:val="21"/>
        </w:rPr>
      </w:pPr>
      <w:r>
        <w:rPr>
          <w:rFonts w:ascii="宋体" w:hAnsi="宋体" w:cs="宋体"/>
          <w:sz w:val="28"/>
          <w:szCs w:val="21"/>
        </w:rPr>
        <w:t>履约</w:t>
      </w:r>
      <w:r>
        <w:rPr>
          <w:rFonts w:hint="eastAsia" w:ascii="宋体" w:hAnsi="宋体" w:cs="宋体"/>
          <w:sz w:val="28"/>
          <w:szCs w:val="21"/>
        </w:rPr>
        <w:t>保证金</w:t>
      </w:r>
      <w:r>
        <w:rPr>
          <w:rFonts w:ascii="宋体" w:hAnsi="宋体" w:cs="宋体"/>
          <w:sz w:val="28"/>
          <w:szCs w:val="21"/>
        </w:rPr>
        <w:t>的形式：支票、汇票、本票或者金融机构、担保机构出具的保函等非现金形式</w:t>
      </w:r>
    </w:p>
    <w:p w14:paraId="7829C42A">
      <w:pPr>
        <w:adjustRightInd w:val="0"/>
        <w:snapToGrid w:val="0"/>
        <w:spacing w:line="500" w:lineRule="exact"/>
        <w:ind w:firstLine="560" w:firstLineChars="200"/>
        <w:jc w:val="left"/>
        <w:rPr>
          <w:rFonts w:ascii="宋体" w:hAnsi="宋体" w:cs="宋体"/>
          <w:color w:val="000000" w:themeColor="text1"/>
          <w:sz w:val="28"/>
          <w:szCs w:val="21"/>
          <w14:textFill>
            <w14:solidFill>
              <w14:schemeClr w14:val="tx1"/>
            </w14:solidFill>
          </w14:textFill>
        </w:rPr>
      </w:pPr>
      <w:r>
        <w:rPr>
          <w:rFonts w:ascii="宋体" w:hAnsi="宋体" w:cs="宋体"/>
          <w:color w:val="000000" w:themeColor="text1"/>
          <w:sz w:val="28"/>
          <w:szCs w:val="21"/>
          <w14:textFill>
            <w14:solidFill>
              <w14:schemeClr w14:val="tx1"/>
            </w14:solidFill>
          </w14:textFill>
        </w:rPr>
        <w:t>履约</w:t>
      </w:r>
      <w:r>
        <w:rPr>
          <w:rFonts w:hint="eastAsia" w:ascii="宋体" w:hAnsi="宋体" w:cs="宋体"/>
          <w:color w:val="000000" w:themeColor="text1"/>
          <w:sz w:val="28"/>
          <w:szCs w:val="21"/>
          <w14:textFill>
            <w14:solidFill>
              <w14:schemeClr w14:val="tx1"/>
            </w14:solidFill>
          </w14:textFill>
        </w:rPr>
        <w:t>保证金</w:t>
      </w:r>
      <w:r>
        <w:rPr>
          <w:rFonts w:ascii="宋体" w:hAnsi="宋体" w:cs="宋体"/>
          <w:color w:val="000000" w:themeColor="text1"/>
          <w:sz w:val="28"/>
          <w:szCs w:val="21"/>
          <w14:textFill>
            <w14:solidFill>
              <w14:schemeClr w14:val="tx1"/>
            </w14:solidFill>
          </w14:textFill>
        </w:rPr>
        <w:t>的金额：</w:t>
      </w:r>
      <w:r>
        <w:rPr>
          <w:rFonts w:hint="eastAsia" w:ascii="宋体" w:hAnsi="宋体" w:cs="宋体"/>
          <w:color w:val="000000" w:themeColor="text1"/>
          <w:sz w:val="28"/>
          <w:szCs w:val="21"/>
          <w14:textFill>
            <w14:solidFill>
              <w14:schemeClr w14:val="tx1"/>
            </w14:solidFill>
          </w14:textFill>
        </w:rPr>
        <w:t>合同价的6%</w:t>
      </w:r>
    </w:p>
    <w:p w14:paraId="734965F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9.2如卖方未能履行合同规定的义务，买方有权从履约保证金中取得补偿。</w:t>
      </w:r>
    </w:p>
    <w:p w14:paraId="0386AD3A">
      <w:pPr>
        <w:adjustRightInd w:val="0"/>
        <w:snapToGrid w:val="0"/>
        <w:spacing w:line="500" w:lineRule="exact"/>
        <w:ind w:firstLine="560" w:firstLineChars="200"/>
        <w:jc w:val="left"/>
        <w:rPr>
          <w:rFonts w:ascii="宋体" w:hAnsi="宋体" w:cs="宋体"/>
          <w:color w:val="1630F6"/>
          <w:sz w:val="28"/>
          <w:szCs w:val="21"/>
        </w:rPr>
      </w:pPr>
      <w:bookmarkStart w:id="446" w:name="_Toc399658021"/>
      <w:bookmarkStart w:id="447" w:name="_Toc20823332"/>
      <w:bookmarkStart w:id="448" w:name="_Toc288030349"/>
      <w:bookmarkStart w:id="449" w:name="_Toc120614239"/>
      <w:bookmarkStart w:id="450" w:name="_Toc399853488"/>
      <w:bookmarkStart w:id="451" w:name="_Toc399227846"/>
      <w:bookmarkStart w:id="452" w:name="_Toc16938576"/>
      <w:bookmarkStart w:id="453" w:name="_Toc462564119"/>
      <w:bookmarkStart w:id="454" w:name="_Toc282446313"/>
      <w:bookmarkStart w:id="455" w:name="_Toc425871376"/>
      <w:bookmarkStart w:id="456" w:name="_Toc399228179"/>
      <w:bookmarkStart w:id="457" w:name="_Toc513029260"/>
      <w:r>
        <w:rPr>
          <w:rFonts w:hint="eastAsia" w:ascii="宋体" w:hAnsi="宋体" w:cs="宋体"/>
          <w:color w:val="1630F6"/>
          <w:sz w:val="28"/>
          <w:szCs w:val="21"/>
        </w:rPr>
        <w:t>10、</w:t>
      </w:r>
      <w:bookmarkEnd w:id="446"/>
      <w:bookmarkEnd w:id="447"/>
      <w:bookmarkEnd w:id="448"/>
      <w:bookmarkEnd w:id="449"/>
      <w:bookmarkEnd w:id="450"/>
      <w:bookmarkEnd w:id="451"/>
      <w:bookmarkEnd w:id="452"/>
      <w:bookmarkEnd w:id="453"/>
      <w:bookmarkEnd w:id="454"/>
      <w:bookmarkEnd w:id="455"/>
      <w:bookmarkEnd w:id="456"/>
      <w:bookmarkEnd w:id="457"/>
      <w:r>
        <w:rPr>
          <w:rFonts w:hint="eastAsia" w:ascii="宋体" w:hAnsi="宋体" w:cs="宋体"/>
          <w:color w:val="1630F6"/>
          <w:sz w:val="28"/>
          <w:szCs w:val="21"/>
        </w:rPr>
        <w:t>诉讼</w:t>
      </w:r>
    </w:p>
    <w:p w14:paraId="3247EEAD">
      <w:pPr>
        <w:adjustRightInd w:val="0"/>
        <w:snapToGrid w:val="0"/>
        <w:spacing w:line="500" w:lineRule="exact"/>
        <w:ind w:firstLine="560" w:firstLineChars="200"/>
        <w:jc w:val="left"/>
        <w:rPr>
          <w:rFonts w:ascii="宋体" w:hAnsi="宋体" w:cs="宋体"/>
          <w:color w:val="1630F6"/>
          <w:sz w:val="28"/>
          <w:szCs w:val="21"/>
        </w:rPr>
      </w:pPr>
      <w:bookmarkStart w:id="458" w:name="_Toc399227847"/>
      <w:bookmarkStart w:id="459" w:name="_Toc282446314"/>
      <w:bookmarkStart w:id="460" w:name="_Toc399228180"/>
      <w:bookmarkStart w:id="461" w:name="_Toc399853489"/>
      <w:bookmarkStart w:id="462" w:name="_Toc462564120"/>
      <w:bookmarkStart w:id="463" w:name="_Toc513029261"/>
      <w:bookmarkStart w:id="464" w:name="_Toc20823333"/>
      <w:bookmarkStart w:id="465" w:name="_Toc425871377"/>
      <w:bookmarkStart w:id="466" w:name="_Toc120614240"/>
      <w:bookmarkStart w:id="467" w:name="_Toc16938577"/>
      <w:bookmarkStart w:id="468" w:name="_Toc288030350"/>
      <w:bookmarkStart w:id="469" w:name="_Toc399658022"/>
      <w:r>
        <w:rPr>
          <w:rFonts w:hint="eastAsia" w:ascii="宋体" w:hAnsi="宋体" w:cs="宋体"/>
          <w:color w:val="1630F6"/>
          <w:sz w:val="28"/>
          <w:szCs w:val="21"/>
        </w:rPr>
        <w:t>本合同在履行过程中，如发生争议的，应先友好协商解决，协商不成的，任何一方均可以向甲方所在地法院提起诉讼。</w:t>
      </w:r>
    </w:p>
    <w:p w14:paraId="69DDEA71">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11、违约终止合同</w:t>
      </w:r>
      <w:bookmarkEnd w:id="458"/>
      <w:bookmarkEnd w:id="459"/>
      <w:bookmarkEnd w:id="460"/>
      <w:bookmarkEnd w:id="461"/>
      <w:bookmarkEnd w:id="462"/>
      <w:bookmarkEnd w:id="463"/>
      <w:bookmarkEnd w:id="464"/>
      <w:bookmarkEnd w:id="465"/>
      <w:bookmarkEnd w:id="466"/>
      <w:bookmarkEnd w:id="467"/>
      <w:bookmarkEnd w:id="468"/>
      <w:bookmarkEnd w:id="469"/>
    </w:p>
    <w:p w14:paraId="61C7CA73">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11.1在买方对卖方违约而采取的任何补救措施不受影响的情况下，买方可向卖方发出终止部分或全部合同的书面通知书。</w:t>
      </w:r>
    </w:p>
    <w:p w14:paraId="4C816637">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(1)如果卖方未能按合同规定的期限或买方同意延长的限期内提供部分或全部服务；</w:t>
      </w:r>
    </w:p>
    <w:p w14:paraId="2F18F531">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天内，或经买方书面认可延长的时间内未能纠正其过失；</w:t>
      </w:r>
    </w:p>
    <w:p w14:paraId="5171E4F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 xml:space="preserve"> (3)如果卖方未能履行合同规定的其他义务。</w:t>
      </w:r>
    </w:p>
    <w:p w14:paraId="15F6EF2A">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p>
    <w:p w14:paraId="1D169DEA">
      <w:pPr>
        <w:adjustRightInd w:val="0"/>
        <w:snapToGrid w:val="0"/>
        <w:spacing w:line="500" w:lineRule="exact"/>
        <w:ind w:firstLine="560" w:firstLineChars="200"/>
        <w:jc w:val="left"/>
        <w:rPr>
          <w:rFonts w:ascii="宋体" w:hAnsi="宋体" w:cs="宋体"/>
          <w:sz w:val="28"/>
          <w:szCs w:val="21"/>
        </w:rPr>
      </w:pPr>
      <w:bookmarkStart w:id="470" w:name="_Toc425871378"/>
      <w:bookmarkStart w:id="471" w:name="_Toc399228181"/>
      <w:bookmarkStart w:id="472" w:name="_Toc282446315"/>
      <w:bookmarkStart w:id="473" w:name="_Toc120614241"/>
      <w:bookmarkStart w:id="474" w:name="_Toc399658023"/>
      <w:bookmarkStart w:id="475" w:name="_Toc399227848"/>
      <w:bookmarkStart w:id="476" w:name="_Toc288030351"/>
      <w:bookmarkStart w:id="477" w:name="_Toc399853490"/>
      <w:bookmarkStart w:id="478" w:name="_Toc513029262"/>
      <w:bookmarkStart w:id="479" w:name="_Toc16938578"/>
      <w:bookmarkStart w:id="480" w:name="_Toc20823334"/>
      <w:bookmarkStart w:id="481" w:name="_Toc462564121"/>
      <w:r>
        <w:rPr>
          <w:rFonts w:hint="eastAsia" w:ascii="宋体" w:hAnsi="宋体" w:cs="宋体"/>
          <w:sz w:val="28"/>
          <w:szCs w:val="21"/>
        </w:rPr>
        <w:t>12、破产中止合同</w:t>
      </w:r>
      <w:bookmarkEnd w:id="470"/>
      <w:bookmarkEnd w:id="471"/>
      <w:bookmarkEnd w:id="472"/>
      <w:bookmarkEnd w:id="473"/>
      <w:bookmarkEnd w:id="474"/>
      <w:bookmarkEnd w:id="475"/>
      <w:bookmarkEnd w:id="476"/>
      <w:bookmarkEnd w:id="477"/>
      <w:bookmarkEnd w:id="478"/>
      <w:bookmarkEnd w:id="479"/>
      <w:bookmarkEnd w:id="480"/>
      <w:bookmarkEnd w:id="481"/>
    </w:p>
    <w:p w14:paraId="7D89E216">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12.1如果卖方破产或无清偿能力时，买方在任何时候书面通知卖方中止合同而不给卖方补偿。该中止合同将不损害或影响买方已经或将要采取的补救措施的权利。</w:t>
      </w:r>
    </w:p>
    <w:p w14:paraId="4D123656">
      <w:pPr>
        <w:adjustRightInd w:val="0"/>
        <w:snapToGrid w:val="0"/>
        <w:spacing w:line="500" w:lineRule="exact"/>
        <w:ind w:firstLine="560" w:firstLineChars="200"/>
        <w:jc w:val="left"/>
        <w:rPr>
          <w:rFonts w:ascii="宋体" w:hAnsi="宋体" w:cs="宋体"/>
          <w:sz w:val="28"/>
          <w:szCs w:val="21"/>
        </w:rPr>
      </w:pPr>
      <w:bookmarkStart w:id="482" w:name="_Toc20823335"/>
      <w:bookmarkStart w:id="483" w:name="_Toc513029263"/>
      <w:bookmarkStart w:id="484" w:name="_Toc282446316"/>
      <w:bookmarkStart w:id="485" w:name="_Toc16938579"/>
      <w:bookmarkStart w:id="486" w:name="_Toc399658024"/>
      <w:bookmarkStart w:id="487" w:name="_Toc399228182"/>
      <w:bookmarkStart w:id="488" w:name="_Toc462564122"/>
      <w:bookmarkStart w:id="489" w:name="_Toc288030352"/>
      <w:bookmarkStart w:id="490" w:name="_Toc120614242"/>
      <w:bookmarkStart w:id="491" w:name="_Toc399853491"/>
      <w:bookmarkStart w:id="492" w:name="_Toc425871379"/>
      <w:bookmarkStart w:id="493" w:name="_Toc399227849"/>
      <w:r>
        <w:rPr>
          <w:rFonts w:hint="eastAsia" w:ascii="宋体" w:hAnsi="宋体" w:cs="宋体"/>
          <w:sz w:val="28"/>
          <w:szCs w:val="21"/>
        </w:rPr>
        <w:t>13、转让</w:t>
      </w:r>
      <w:bookmarkEnd w:id="482"/>
      <w:bookmarkEnd w:id="483"/>
      <w:bookmarkEnd w:id="484"/>
      <w:bookmarkEnd w:id="485"/>
      <w:bookmarkEnd w:id="486"/>
      <w:bookmarkEnd w:id="487"/>
      <w:bookmarkEnd w:id="488"/>
      <w:bookmarkEnd w:id="489"/>
      <w:bookmarkEnd w:id="490"/>
      <w:bookmarkEnd w:id="491"/>
      <w:bookmarkEnd w:id="492"/>
      <w:bookmarkEnd w:id="493"/>
    </w:p>
    <w:p w14:paraId="63AA2ACE">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13.1除买方事先书面同意外，卖方不得部分转让或全部转让其应履行的合同义务。</w:t>
      </w:r>
    </w:p>
    <w:p w14:paraId="3A5DAB7E">
      <w:pPr>
        <w:adjustRightInd w:val="0"/>
        <w:snapToGrid w:val="0"/>
        <w:spacing w:line="500" w:lineRule="exact"/>
        <w:ind w:firstLine="560" w:firstLineChars="200"/>
        <w:jc w:val="left"/>
        <w:rPr>
          <w:rFonts w:ascii="宋体" w:hAnsi="宋体" w:cs="宋体"/>
          <w:sz w:val="28"/>
          <w:szCs w:val="21"/>
        </w:rPr>
      </w:pPr>
      <w:bookmarkStart w:id="494" w:name="_Toc513029264"/>
      <w:bookmarkStart w:id="495" w:name="_Toc399228183"/>
      <w:bookmarkStart w:id="496" w:name="_Toc288030353"/>
      <w:bookmarkStart w:id="497" w:name="_Toc425871380"/>
      <w:bookmarkStart w:id="498" w:name="_Toc399227850"/>
      <w:bookmarkStart w:id="499" w:name="_Toc399658025"/>
      <w:bookmarkStart w:id="500" w:name="_Toc120614243"/>
      <w:bookmarkStart w:id="501" w:name="_Toc399853492"/>
      <w:bookmarkStart w:id="502" w:name="_Toc462564123"/>
      <w:bookmarkStart w:id="503" w:name="_Toc282446317"/>
      <w:bookmarkStart w:id="504" w:name="_Toc20823336"/>
      <w:bookmarkStart w:id="505" w:name="_Toc16938580"/>
      <w:r>
        <w:rPr>
          <w:rFonts w:hint="eastAsia" w:ascii="宋体" w:hAnsi="宋体" w:cs="宋体"/>
          <w:sz w:val="28"/>
          <w:szCs w:val="21"/>
        </w:rPr>
        <w:t>14、合同生效及其它</w:t>
      </w:r>
      <w:bookmarkEnd w:id="494"/>
      <w:bookmarkEnd w:id="495"/>
      <w:bookmarkEnd w:id="496"/>
      <w:bookmarkEnd w:id="497"/>
      <w:bookmarkEnd w:id="498"/>
      <w:bookmarkEnd w:id="499"/>
      <w:bookmarkEnd w:id="500"/>
      <w:bookmarkEnd w:id="501"/>
      <w:bookmarkEnd w:id="502"/>
      <w:bookmarkEnd w:id="503"/>
      <w:bookmarkEnd w:id="504"/>
      <w:bookmarkEnd w:id="505"/>
    </w:p>
    <w:p w14:paraId="38292A0B">
      <w:pPr>
        <w:adjustRightInd w:val="0"/>
        <w:snapToGrid w:val="0"/>
        <w:spacing w:line="500" w:lineRule="exact"/>
        <w:ind w:firstLine="560" w:firstLineChars="200"/>
        <w:jc w:val="left"/>
        <w:rPr>
          <w:rFonts w:ascii="宋体" w:hAnsi="宋体" w:cs="宋体"/>
          <w:color w:val="0000FF"/>
          <w:sz w:val="28"/>
          <w:szCs w:val="21"/>
        </w:rPr>
      </w:pPr>
      <w:r>
        <w:rPr>
          <w:rFonts w:hint="eastAsia" w:ascii="宋体" w:hAnsi="宋体" w:cs="宋体"/>
          <w:color w:val="0000FF"/>
          <w:sz w:val="28"/>
          <w:szCs w:val="21"/>
        </w:rPr>
        <w:t>14.1合同应在买方、卖方签字，并在卖方向买方交纳履约保证金后生效。</w:t>
      </w:r>
    </w:p>
    <w:p w14:paraId="30B3EDF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份，以中文书写，买方、卖方各执 </w:t>
      </w:r>
      <w:r>
        <w:rPr>
          <w:rFonts w:hint="eastAsia" w:ascii="宋体" w:hAnsi="宋体" w:cs="宋体"/>
          <w:sz w:val="28"/>
          <w:szCs w:val="21"/>
          <w:u w:val="single"/>
        </w:rPr>
        <w:t xml:space="preserve">     </w:t>
      </w:r>
      <w:r>
        <w:rPr>
          <w:rFonts w:hint="eastAsia" w:ascii="宋体" w:hAnsi="宋体" w:cs="宋体"/>
          <w:sz w:val="28"/>
          <w:szCs w:val="21"/>
        </w:rPr>
        <w:t xml:space="preserve"> 份。</w:t>
      </w:r>
    </w:p>
    <w:p w14:paraId="0C57620C">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14.3如需修改或补充合同内容，应经买方、卖方协商一致，签署书面修改或补充协议。该协议将作为本合同不可分割的一部分。</w:t>
      </w:r>
    </w:p>
    <w:p w14:paraId="7A712E30">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14.4本合同应按照中华人民共和国的现行法律进行解释。</w:t>
      </w:r>
    </w:p>
    <w:p w14:paraId="6C26CB38">
      <w:pPr>
        <w:adjustRightInd w:val="0"/>
        <w:snapToGrid w:val="0"/>
        <w:spacing w:line="500" w:lineRule="exact"/>
        <w:ind w:firstLine="562" w:firstLineChars="200"/>
        <w:outlineLvl w:val="1"/>
        <w:rPr>
          <w:b/>
          <w:bCs/>
          <w:sz w:val="28"/>
          <w:szCs w:val="28"/>
        </w:rPr>
      </w:pPr>
      <w:r>
        <w:rPr>
          <w:rFonts w:hint="eastAsia" w:ascii="宋体" w:hAnsi="宋体" w:cs="Arial"/>
          <w:b/>
          <w:bCs/>
          <w:color w:val="000000"/>
          <w:sz w:val="28"/>
          <w:szCs w:val="28"/>
        </w:rPr>
        <w:t>二、专用合同条款部分</w:t>
      </w:r>
    </w:p>
    <w:p w14:paraId="71FC35E3">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p>
    <w:p w14:paraId="5BB21F72">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p>
    <w:p w14:paraId="2AC14AAA">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甲乙双方根据政府采购编号</w:t>
      </w:r>
      <w:r>
        <w:rPr>
          <w:rFonts w:hint="eastAsia" w:ascii="宋体" w:hAnsi="宋体" w:cs="宋体"/>
          <w:sz w:val="28"/>
          <w:szCs w:val="28"/>
          <w:u w:val="single"/>
        </w:rPr>
        <w:t xml:space="preserve">                    </w:t>
      </w:r>
      <w:r>
        <w:rPr>
          <w:rFonts w:hint="eastAsia" w:ascii="宋体" w:hAnsi="宋体" w:cs="宋体"/>
          <w:sz w:val="28"/>
          <w:szCs w:val="28"/>
        </w:rPr>
        <w:t>的</w:t>
      </w:r>
      <w:r>
        <w:rPr>
          <w:rFonts w:hint="eastAsia" w:ascii="宋体" w:hAnsi="宋体" w:cs="宋体"/>
          <w:sz w:val="28"/>
          <w:szCs w:val="28"/>
          <w:u w:val="single"/>
        </w:rPr>
        <w:t xml:space="preserve">         </w:t>
      </w:r>
      <w:r>
        <w:rPr>
          <w:rFonts w:hint="eastAsia" w:ascii="宋体" w:hAnsi="宋体" w:cs="宋体"/>
          <w:sz w:val="28"/>
          <w:szCs w:val="28"/>
        </w:rPr>
        <w:t>项目采购结果及招标文件的要求,经协商一致,达成如下采购服务合同:</w:t>
      </w:r>
    </w:p>
    <w:p w14:paraId="7EF994F9">
      <w:pPr>
        <w:adjustRightInd w:val="0"/>
        <w:snapToGrid w:val="0"/>
        <w:spacing w:line="500" w:lineRule="exact"/>
        <w:ind w:firstLine="560" w:firstLineChars="200"/>
        <w:jc w:val="left"/>
        <w:rPr>
          <w:rFonts w:ascii="宋体" w:hAnsi="宋体"/>
          <w:sz w:val="28"/>
          <w:szCs w:val="28"/>
        </w:rPr>
      </w:pPr>
      <w:r>
        <w:rPr>
          <w:rFonts w:hint="eastAsia" w:ascii="宋体" w:hAnsi="宋体" w:cs="宋体"/>
          <w:sz w:val="28"/>
          <w:szCs w:val="28"/>
        </w:rPr>
        <w:t>根据《中华人民共和国政府采购法》、《中华人民共和国民法典》和相关行业法律法规等法律法规的规定，甲乙双方按照**的招标结果</w:t>
      </w:r>
      <w:r>
        <w:rPr>
          <w:rFonts w:hint="eastAsia" w:ascii="宋体" w:hAnsi="宋体"/>
          <w:sz w:val="28"/>
          <w:szCs w:val="28"/>
        </w:rPr>
        <w:t>签订本合同。</w:t>
      </w:r>
    </w:p>
    <w:p w14:paraId="06528C0D">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一、项目概况</w:t>
      </w:r>
    </w:p>
    <w:p w14:paraId="1EE3FC8F">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p>
    <w:p w14:paraId="701CDF47">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p>
    <w:p w14:paraId="281E6558">
      <w:pPr>
        <w:adjustRightInd w:val="0"/>
        <w:snapToGrid w:val="0"/>
        <w:spacing w:line="500" w:lineRule="exact"/>
        <w:ind w:firstLine="560" w:firstLineChars="200"/>
        <w:jc w:val="lef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p>
    <w:p w14:paraId="59636FBE">
      <w:pPr>
        <w:adjustRightInd w:val="0"/>
        <w:snapToGrid w:val="0"/>
        <w:spacing w:line="500" w:lineRule="exact"/>
        <w:ind w:firstLine="560" w:firstLineChars="200"/>
        <w:rPr>
          <w:rFonts w:ascii="宋体" w:hAnsi="宋体" w:cs="宋体"/>
          <w:sz w:val="28"/>
          <w:szCs w:val="28"/>
          <w:u w:val="single"/>
        </w:rPr>
      </w:pPr>
      <w:r>
        <w:rPr>
          <w:rFonts w:hint="eastAsia" w:ascii="宋体" w:hAnsi="宋体" w:cs="宋体"/>
          <w:sz w:val="28"/>
          <w:szCs w:val="28"/>
        </w:rPr>
        <w:t>1.4 合同价款：</w:t>
      </w:r>
      <w:r>
        <w:rPr>
          <w:rFonts w:hint="eastAsia" w:ascii="宋体" w:hAnsi="宋体" w:cs="宋体"/>
          <w:sz w:val="28"/>
          <w:szCs w:val="28"/>
          <w:u w:val="single"/>
        </w:rPr>
        <w:t xml:space="preserve">                       </w:t>
      </w:r>
    </w:p>
    <w:p w14:paraId="12656C85">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二．定义</w:t>
      </w:r>
    </w:p>
    <w:p w14:paraId="42FB3563">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l“合同”系指甲方和乙方（以下简称合同双方）签署的、合同格式中列明的合同双方所达成的协议，包括所有的附件、附录、招标、投标文件全部内容及对招、投标文件书面修正、澄清的内容等以及构成合同的所有文件。</w:t>
      </w:r>
    </w:p>
    <w:p w14:paraId="6E0F209E">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2.2“合同价格”系指根据合同规定，在乙方全面正确地履行合同义务后甲方应支付给乙方的价格。</w:t>
      </w:r>
    </w:p>
    <w:p w14:paraId="2FD4DA1B">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2.3“甲方”系指采购人。</w:t>
      </w:r>
    </w:p>
    <w:p w14:paraId="67F6B019">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2.4“乙方”系指中标人。</w:t>
      </w:r>
    </w:p>
    <w:p w14:paraId="482EBCEE">
      <w:pPr>
        <w:adjustRightInd w:val="0"/>
        <w:snapToGrid w:val="0"/>
        <w:spacing w:line="500" w:lineRule="exact"/>
        <w:ind w:firstLine="420" w:firstLineChars="150"/>
        <w:rPr>
          <w:rFonts w:ascii="宋体" w:hAnsi="宋体"/>
          <w:b/>
          <w:sz w:val="28"/>
          <w:szCs w:val="28"/>
        </w:rPr>
      </w:pPr>
      <w:r>
        <w:rPr>
          <w:rFonts w:hint="eastAsia" w:ascii="宋体" w:hAnsi="宋体"/>
          <w:sz w:val="28"/>
          <w:szCs w:val="28"/>
        </w:rPr>
        <w:t xml:space="preserve"> </w:t>
      </w:r>
      <w:r>
        <w:rPr>
          <w:rFonts w:hint="eastAsia" w:ascii="宋体" w:hAnsi="宋体"/>
          <w:b/>
          <w:sz w:val="28"/>
          <w:szCs w:val="28"/>
        </w:rPr>
        <w:t>三．适用范围</w:t>
      </w:r>
    </w:p>
    <w:p w14:paraId="04AE87E8">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3.l本合同条款适用于本次招标项目。</w:t>
      </w:r>
    </w:p>
    <w:p w14:paraId="064E9B7D">
      <w:pPr>
        <w:adjustRightInd w:val="0"/>
        <w:snapToGrid w:val="0"/>
        <w:spacing w:line="500" w:lineRule="exact"/>
        <w:ind w:firstLine="562" w:firstLineChars="200"/>
        <w:rPr>
          <w:rFonts w:ascii="宋体" w:hAnsi="宋体"/>
          <w:sz w:val="28"/>
          <w:szCs w:val="28"/>
        </w:rPr>
      </w:pPr>
      <w:r>
        <w:rPr>
          <w:rFonts w:hint="eastAsia" w:ascii="宋体" w:hAnsi="宋体"/>
          <w:b/>
          <w:sz w:val="28"/>
          <w:szCs w:val="28"/>
        </w:rPr>
        <w:t>四. 服务工作执行技术标准、验收标准及工期：</w:t>
      </w:r>
    </w:p>
    <w:p w14:paraId="73106011">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1、技术标准与招标文件一致。</w:t>
      </w:r>
    </w:p>
    <w:p w14:paraId="3B1D62ED">
      <w:pPr>
        <w:adjustRightInd w:val="0"/>
        <w:snapToGrid w:val="0"/>
        <w:spacing w:line="500" w:lineRule="exact"/>
        <w:ind w:firstLine="560" w:firstLineChars="200"/>
        <w:rPr>
          <w:rFonts w:ascii="宋体" w:hAnsi="宋体"/>
          <w:sz w:val="28"/>
          <w:szCs w:val="28"/>
        </w:rPr>
      </w:pPr>
      <w:r>
        <w:rPr>
          <w:rFonts w:hint="eastAsia" w:ascii="宋体" w:hAnsi="宋体"/>
          <w:sz w:val="28"/>
          <w:szCs w:val="28"/>
        </w:rPr>
        <w:t>2、验收时间及标准：</w:t>
      </w:r>
    </w:p>
    <w:p w14:paraId="7B4D120D">
      <w:pPr>
        <w:pStyle w:val="6"/>
        <w:adjustRightInd w:val="0"/>
        <w:snapToGrid w:val="0"/>
        <w:spacing w:line="500" w:lineRule="exact"/>
        <w:ind w:firstLine="560" w:firstLineChars="200"/>
      </w:pPr>
      <w:r>
        <w:rPr>
          <w:rFonts w:hint="eastAsia" w:ascii="宋体" w:hAnsi="宋体" w:cs="宋体"/>
          <w:sz w:val="28"/>
          <w:szCs w:val="28"/>
        </w:rPr>
        <w:t>3、项目履行期限：</w:t>
      </w:r>
    </w:p>
    <w:p w14:paraId="57D78A73">
      <w:pPr>
        <w:adjustRightInd w:val="0"/>
        <w:snapToGrid w:val="0"/>
        <w:spacing w:line="500" w:lineRule="exact"/>
        <w:ind w:firstLine="562" w:firstLineChars="200"/>
        <w:rPr>
          <w:rFonts w:ascii="宋体" w:hAnsi="宋体" w:cs="宋体"/>
          <w:sz w:val="28"/>
          <w:szCs w:val="28"/>
        </w:rPr>
      </w:pPr>
      <w:r>
        <w:rPr>
          <w:rFonts w:hint="eastAsia" w:ascii="宋体" w:hAnsi="宋体"/>
          <w:b/>
          <w:sz w:val="28"/>
          <w:szCs w:val="28"/>
        </w:rPr>
        <w:t>五.</w:t>
      </w:r>
      <w:r>
        <w:rPr>
          <w:rFonts w:hint="eastAsia" w:ascii="宋体" w:hAnsi="宋体" w:cs="宋体"/>
          <w:sz w:val="28"/>
          <w:szCs w:val="28"/>
        </w:rPr>
        <w:t>项目经费来源、价款以及支付方式</w:t>
      </w:r>
    </w:p>
    <w:p w14:paraId="3420F18D">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1、经费来源： </w:t>
      </w:r>
    </w:p>
    <w:p w14:paraId="369AB97F">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2、项目价款： </w:t>
      </w:r>
    </w:p>
    <w:p w14:paraId="4194BA5C">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⑴</w:t>
      </w:r>
      <w:r>
        <w:rPr>
          <w:rFonts w:hint="eastAsia" w:ascii="宋体" w:hAnsi="宋体" w:cs="宋体"/>
          <w:sz w:val="28"/>
          <w:szCs w:val="28"/>
        </w:rPr>
        <w:fldChar w:fldCharType="end"/>
      </w:r>
      <w:r>
        <w:rPr>
          <w:rFonts w:hint="eastAsia" w:ascii="宋体" w:hAnsi="宋体" w:cs="宋体"/>
          <w:sz w:val="28"/>
          <w:szCs w:val="28"/>
        </w:rPr>
        <w:t xml:space="preserve"> ***</w:t>
      </w:r>
    </w:p>
    <w:p w14:paraId="597EF717">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⑵</w:t>
      </w:r>
      <w:r>
        <w:rPr>
          <w:rFonts w:hint="eastAsia" w:ascii="宋体" w:hAnsi="宋体" w:cs="宋体"/>
          <w:sz w:val="28"/>
          <w:szCs w:val="28"/>
        </w:rPr>
        <w:fldChar w:fldCharType="end"/>
      </w:r>
      <w:r>
        <w:rPr>
          <w:rFonts w:hint="eastAsia" w:ascii="宋体" w:hAnsi="宋体" w:cs="宋体"/>
          <w:sz w:val="28"/>
          <w:szCs w:val="28"/>
        </w:rPr>
        <w:t xml:space="preserve"> ***</w:t>
      </w:r>
    </w:p>
    <w:p w14:paraId="0519DFA8">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3、支付方式、时间、条件： </w:t>
      </w:r>
    </w:p>
    <w:p w14:paraId="33EA10B8">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4、方案编制以及审批过程中产生的所有费用均由编制单位承担。</w:t>
      </w:r>
    </w:p>
    <w:p w14:paraId="4AFBEE56">
      <w:pPr>
        <w:adjustRightInd w:val="0"/>
        <w:snapToGrid w:val="0"/>
        <w:spacing w:line="500" w:lineRule="exact"/>
        <w:ind w:firstLine="562" w:firstLineChars="200"/>
        <w:rPr>
          <w:rFonts w:ascii="宋体" w:hAnsi="宋体"/>
          <w:sz w:val="28"/>
          <w:szCs w:val="28"/>
        </w:rPr>
      </w:pPr>
      <w:r>
        <w:rPr>
          <w:rFonts w:hint="eastAsia" w:ascii="宋体" w:hAnsi="宋体"/>
          <w:b/>
          <w:bCs/>
          <w:sz w:val="28"/>
          <w:szCs w:val="28"/>
        </w:rPr>
        <w:t>六</w:t>
      </w:r>
      <w:r>
        <w:rPr>
          <w:rFonts w:hint="eastAsia" w:ascii="宋体" w:hAnsi="宋体"/>
          <w:sz w:val="28"/>
          <w:szCs w:val="28"/>
        </w:rPr>
        <w:t>、甲方的义务</w:t>
      </w:r>
    </w:p>
    <w:p w14:paraId="02C80FA0">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1、负责本项目的组织协商，配合乙方做好相关资料收集和准备工作。</w:t>
      </w:r>
    </w:p>
    <w:p w14:paraId="6F081B6B">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2、足额向乙方支付经费。</w:t>
      </w:r>
    </w:p>
    <w:p w14:paraId="5E188C18">
      <w:pPr>
        <w:adjustRightInd w:val="0"/>
        <w:snapToGrid w:val="0"/>
        <w:spacing w:line="500" w:lineRule="exact"/>
        <w:ind w:firstLine="562" w:firstLineChars="200"/>
        <w:rPr>
          <w:rFonts w:ascii="宋体" w:hAnsi="宋体"/>
          <w:sz w:val="28"/>
          <w:szCs w:val="28"/>
        </w:rPr>
      </w:pPr>
      <w:r>
        <w:rPr>
          <w:rFonts w:hint="eastAsia" w:ascii="宋体" w:hAnsi="宋体"/>
          <w:b/>
          <w:bCs/>
          <w:sz w:val="28"/>
          <w:szCs w:val="28"/>
        </w:rPr>
        <w:t>七</w:t>
      </w:r>
      <w:r>
        <w:rPr>
          <w:rFonts w:hint="eastAsia" w:ascii="宋体" w:hAnsi="宋体"/>
          <w:sz w:val="28"/>
          <w:szCs w:val="28"/>
        </w:rPr>
        <w:t>、乙方义务</w:t>
      </w:r>
    </w:p>
    <w:p w14:paraId="7F56B893">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严格按照甲方的委托要求独立开展工作，并保证及时高质量完成甲方委托任务，具体事项有：</w:t>
      </w:r>
    </w:p>
    <w:p w14:paraId="5E97DD2B">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1、</w:t>
      </w:r>
    </w:p>
    <w:p w14:paraId="094CC334">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rPr>
        <w:t xml:space="preserve"> （如有，另行协商）</w:t>
      </w:r>
      <w:r>
        <w:rPr>
          <w:rFonts w:hint="eastAsia" w:ascii="宋体" w:hAnsi="宋体" w:cs="宋体"/>
          <w:sz w:val="28"/>
          <w:szCs w:val="28"/>
        </w:rPr>
        <w:t>。</w:t>
      </w:r>
    </w:p>
    <w:p w14:paraId="69D87F53">
      <w:pPr>
        <w:adjustRightInd w:val="0"/>
        <w:snapToGrid w:val="0"/>
        <w:spacing w:line="500" w:lineRule="exact"/>
        <w:ind w:firstLine="562" w:firstLineChars="200"/>
        <w:rPr>
          <w:sz w:val="28"/>
        </w:rPr>
      </w:pPr>
      <w:r>
        <w:rPr>
          <w:rFonts w:hint="eastAsia" w:ascii="宋体" w:hAnsi="宋体"/>
          <w:b/>
          <w:sz w:val="28"/>
          <w:szCs w:val="28"/>
        </w:rPr>
        <w:t>八、</w:t>
      </w:r>
      <w:r>
        <w:rPr>
          <w:rFonts w:hint="eastAsia" w:ascii="宋体" w:hAnsi="宋体" w:cs="宋体"/>
          <w:sz w:val="28"/>
        </w:rPr>
        <w:t>本合同涉及的本项目成果的所有权、使用权和著作权归甲方所有。</w:t>
      </w:r>
    </w:p>
    <w:p w14:paraId="3F77AD26">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九、履约保证金</w:t>
      </w:r>
    </w:p>
    <w:p w14:paraId="11D3D8B5">
      <w:pPr>
        <w:adjustRightInd w:val="0"/>
        <w:snapToGrid w:val="0"/>
        <w:spacing w:line="500" w:lineRule="exact"/>
        <w:ind w:firstLine="560" w:firstLineChars="200"/>
        <w:jc w:val="lef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p>
    <w:p w14:paraId="63A40BA7">
      <w:pPr>
        <w:adjustRightInd w:val="0"/>
        <w:snapToGrid w:val="0"/>
        <w:spacing w:line="500" w:lineRule="exact"/>
        <w:ind w:firstLine="560" w:firstLineChars="200"/>
        <w:jc w:val="left"/>
        <w:rPr>
          <w:rFonts w:ascii="宋体" w:hAnsi="宋体" w:cs="宋体"/>
          <w:sz w:val="28"/>
          <w:szCs w:val="28"/>
        </w:rPr>
      </w:pPr>
      <w:r>
        <w:rPr>
          <w:rFonts w:ascii="宋体" w:hAnsi="宋体" w:cs="宋体"/>
          <w:sz w:val="28"/>
          <w:szCs w:val="28"/>
        </w:rPr>
        <w:t>履约</w:t>
      </w:r>
      <w:r>
        <w:rPr>
          <w:rFonts w:hint="eastAsia" w:ascii="宋体" w:hAnsi="宋体" w:cs="宋体"/>
          <w:sz w:val="28"/>
          <w:szCs w:val="28"/>
        </w:rPr>
        <w:t>保证金</w:t>
      </w:r>
      <w:r>
        <w:rPr>
          <w:rFonts w:ascii="宋体" w:hAnsi="宋体" w:cs="宋体"/>
          <w:sz w:val="28"/>
          <w:szCs w:val="28"/>
        </w:rPr>
        <w:t>的形式：支票、汇票、本票或者金融机构、担保机构出具的保函等非现金形式</w:t>
      </w:r>
    </w:p>
    <w:p w14:paraId="63CB4E6F">
      <w:pPr>
        <w:adjustRightInd w:val="0"/>
        <w:snapToGrid w:val="0"/>
        <w:spacing w:line="500" w:lineRule="exact"/>
        <w:ind w:firstLine="560" w:firstLineChars="200"/>
        <w:jc w:val="lef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履约</w:t>
      </w:r>
      <w:r>
        <w:rPr>
          <w:rFonts w:hint="eastAsia" w:ascii="宋体" w:hAnsi="宋体" w:cs="宋体"/>
          <w:color w:val="000000" w:themeColor="text1"/>
          <w:sz w:val="28"/>
          <w:szCs w:val="28"/>
          <w14:textFill>
            <w14:solidFill>
              <w14:schemeClr w14:val="tx1"/>
            </w14:solidFill>
          </w14:textFill>
        </w:rPr>
        <w:t>保证金</w:t>
      </w:r>
      <w:r>
        <w:rPr>
          <w:rFonts w:ascii="宋体" w:hAnsi="宋体" w:cs="宋体"/>
          <w:color w:val="000000" w:themeColor="text1"/>
          <w:sz w:val="28"/>
          <w:szCs w:val="28"/>
          <w14:textFill>
            <w14:solidFill>
              <w14:schemeClr w14:val="tx1"/>
            </w14:solidFill>
          </w14:textFill>
        </w:rPr>
        <w:t>的金额：</w:t>
      </w:r>
      <w:r>
        <w:rPr>
          <w:rFonts w:hint="eastAsia" w:ascii="宋体" w:hAnsi="宋体" w:cs="宋体"/>
          <w:color w:val="000000" w:themeColor="text1"/>
          <w:sz w:val="28"/>
          <w:szCs w:val="28"/>
          <w14:textFill>
            <w14:solidFill>
              <w14:schemeClr w14:val="tx1"/>
            </w14:solidFill>
          </w14:textFill>
        </w:rPr>
        <w:t>合同价的</w:t>
      </w:r>
      <w:r>
        <w:rPr>
          <w:rFonts w:hint="eastAsia" w:ascii="宋体" w:hAnsi="宋体" w:cs="宋体"/>
          <w:color w:val="000000" w:themeColor="text1"/>
          <w:sz w:val="28"/>
          <w:szCs w:val="28"/>
          <w:u w:val="single"/>
          <w14:textFill>
            <w14:solidFill>
              <w14:schemeClr w14:val="tx1"/>
            </w14:solidFill>
          </w14:textFill>
        </w:rPr>
        <w:t xml:space="preserve">  6   </w:t>
      </w:r>
      <w:r>
        <w:rPr>
          <w:rFonts w:hint="eastAsia" w:ascii="宋体" w:hAnsi="宋体" w:cs="宋体"/>
          <w:color w:val="000000" w:themeColor="text1"/>
          <w:sz w:val="28"/>
          <w:szCs w:val="28"/>
          <w14:textFill>
            <w14:solidFill>
              <w14:schemeClr w14:val="tx1"/>
            </w14:solidFill>
          </w14:textFill>
        </w:rPr>
        <w:t>%</w:t>
      </w:r>
    </w:p>
    <w:p w14:paraId="15AD84C4">
      <w:pPr>
        <w:pStyle w:val="6"/>
        <w:adjustRightInd w:val="0"/>
        <w:snapToGrid w:val="0"/>
        <w:spacing w:line="500" w:lineRule="exact"/>
        <w:rPr>
          <w:rFonts w:ascii="宋体" w:hAnsi="宋体" w:cs="宋体"/>
          <w:sz w:val="28"/>
          <w:szCs w:val="28"/>
        </w:rPr>
      </w:pPr>
      <w:r>
        <w:rPr>
          <w:rFonts w:hint="eastAsia" w:ascii="宋体" w:hAnsi="宋体" w:cs="宋体"/>
          <w:sz w:val="28"/>
          <w:szCs w:val="28"/>
        </w:rPr>
        <w:t xml:space="preserve">    履约保证金退还方式、时间、条件：</w:t>
      </w:r>
    </w:p>
    <w:p w14:paraId="02A1D938">
      <w:pPr>
        <w:adjustRightInd w:val="0"/>
        <w:snapToGrid w:val="0"/>
        <w:spacing w:line="500" w:lineRule="exact"/>
        <w:ind w:firstLine="560" w:firstLineChars="200"/>
        <w:jc w:val="left"/>
        <w:rPr>
          <w:rFonts w:ascii="宋体" w:hAnsi="宋体" w:cs="宋体"/>
          <w:sz w:val="28"/>
          <w:szCs w:val="21"/>
        </w:rPr>
      </w:pPr>
      <w:r>
        <w:rPr>
          <w:rFonts w:hint="eastAsia" w:ascii="宋体" w:hAnsi="宋体" w:cs="宋体"/>
          <w:sz w:val="28"/>
          <w:szCs w:val="21"/>
        </w:rPr>
        <w:t>2、如卖方未能履行合同规定的义务，买方有权从履约保证金中取得补偿。</w:t>
      </w:r>
    </w:p>
    <w:p w14:paraId="1F7D7595">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3、乙方由于过错而导致支付违约金和赔偿损失时可由履约保证金抵顶支付；当违约金和赔偿金额超过履约保证金时，甲方可追偿超过履约保证金的部分。</w:t>
      </w:r>
    </w:p>
    <w:p w14:paraId="56E23304">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十．不可抗力</w:t>
      </w:r>
    </w:p>
    <w:p w14:paraId="5B8E79FA">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1.签约双方任一方由于受诸如战争、严重火灾、洪水、台风、地震等不可抗力事故的影响而不能执行合同时，履行合同的期限应予以延长，延长的期限应相当于事故所影响的时间。</w:t>
      </w:r>
    </w:p>
    <w:p w14:paraId="27429536">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天以上，双方（或三方）应通过友好协商在合理的时间内达成是否继续履行合同的协议。</w:t>
      </w:r>
    </w:p>
    <w:p w14:paraId="47894CB2">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十一．税费</w:t>
      </w:r>
    </w:p>
    <w:p w14:paraId="4163A640">
      <w:pPr>
        <w:adjustRightInd w:val="0"/>
        <w:snapToGrid w:val="0"/>
        <w:spacing w:line="500" w:lineRule="exact"/>
        <w:ind w:firstLine="560" w:firstLineChars="200"/>
        <w:rPr>
          <w:rFonts w:ascii="宋体" w:hAnsi="宋体" w:cs="宋体"/>
          <w:sz w:val="28"/>
          <w:szCs w:val="28"/>
        </w:rPr>
      </w:pPr>
      <w:r>
        <w:rPr>
          <w:rFonts w:hint="eastAsia" w:ascii="宋体" w:hAnsi="宋体" w:cs="宋体"/>
          <w:sz w:val="28"/>
          <w:szCs w:val="28"/>
        </w:rPr>
        <w:t>1.与履行本合同有关的一切税费，由乙方承担。</w:t>
      </w:r>
    </w:p>
    <w:p w14:paraId="1B574BF5">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十二．争议</w:t>
      </w:r>
    </w:p>
    <w:p w14:paraId="02EAC82A">
      <w:pPr>
        <w:adjustRightInd w:val="0"/>
        <w:snapToGrid w:val="0"/>
        <w:spacing w:line="500" w:lineRule="exact"/>
        <w:ind w:firstLine="560" w:firstLineChars="200"/>
        <w:rPr>
          <w:rFonts w:ascii="宋体" w:hAnsi="宋体"/>
          <w:sz w:val="28"/>
          <w:szCs w:val="28"/>
        </w:rPr>
      </w:pPr>
      <w:r>
        <w:rPr>
          <w:rFonts w:hint="eastAsia" w:ascii="宋体" w:hAnsi="宋体"/>
          <w:sz w:val="28"/>
          <w:szCs w:val="28"/>
        </w:rPr>
        <w:t>1.在执行本合同中发生的或与本合同有关的争端，双方应通过友好协商解决。</w:t>
      </w:r>
      <w:r>
        <w:rPr>
          <w:rFonts w:hint="eastAsia" w:ascii="宋体" w:hAnsi="宋体" w:cs="宋体"/>
          <w:sz w:val="28"/>
          <w:szCs w:val="28"/>
        </w:rPr>
        <w:t>经协商不能达成协议时，可向泰兴市仲裁委员会按其仲裁规则申请仲裁。仲裁不成功，向合同签约地的人民法院提请诉讼。</w:t>
      </w:r>
    </w:p>
    <w:p w14:paraId="51083FF8">
      <w:pPr>
        <w:adjustRightInd w:val="0"/>
        <w:snapToGrid w:val="0"/>
        <w:spacing w:line="500" w:lineRule="exact"/>
        <w:ind w:firstLine="560" w:firstLineChars="200"/>
        <w:rPr>
          <w:rFonts w:ascii="宋体" w:hAnsi="宋体"/>
          <w:sz w:val="28"/>
          <w:szCs w:val="28"/>
        </w:rPr>
      </w:pPr>
      <w:r>
        <w:rPr>
          <w:rFonts w:hint="eastAsia" w:ascii="宋体" w:hAnsi="宋体"/>
          <w:sz w:val="28"/>
          <w:szCs w:val="28"/>
        </w:rPr>
        <w:t>2.在仲裁和诉讼期间，双方应继续履行争议部分以外的合同内容。</w:t>
      </w:r>
    </w:p>
    <w:p w14:paraId="0D5DCF2D">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十三．违约终止合同</w:t>
      </w:r>
    </w:p>
    <w:p w14:paraId="02D191B9">
      <w:pPr>
        <w:adjustRightInd w:val="0"/>
        <w:snapToGrid w:val="0"/>
        <w:spacing w:line="500" w:lineRule="exact"/>
        <w:ind w:firstLine="560" w:firstLineChars="200"/>
        <w:rPr>
          <w:rFonts w:ascii="宋体" w:hAnsi="宋体"/>
          <w:sz w:val="28"/>
          <w:szCs w:val="28"/>
        </w:rPr>
      </w:pPr>
      <w:r>
        <w:rPr>
          <w:rFonts w:hint="eastAsia" w:ascii="宋体" w:hAnsi="宋体"/>
          <w:sz w:val="28"/>
          <w:szCs w:val="28"/>
        </w:rPr>
        <w:t>1 .违约责任</w:t>
      </w:r>
    </w:p>
    <w:p w14:paraId="7185CE68">
      <w:pPr>
        <w:adjustRightInd w:val="0"/>
        <w:snapToGrid w:val="0"/>
        <w:spacing w:line="500" w:lineRule="exact"/>
        <w:ind w:firstLine="560" w:firstLineChars="200"/>
        <w:rPr>
          <w:rFonts w:ascii="宋体" w:hAnsi="宋体"/>
          <w:sz w:val="28"/>
          <w:szCs w:val="28"/>
        </w:rPr>
      </w:pPr>
      <w:r>
        <w:rPr>
          <w:rFonts w:hint="eastAsia" w:ascii="宋体" w:hAnsi="宋体"/>
          <w:sz w:val="28"/>
          <w:szCs w:val="28"/>
        </w:rPr>
        <w:t>有下列情况之一的，甲方有权终止协议：</w:t>
      </w:r>
    </w:p>
    <w:p w14:paraId="64BFC528">
      <w:pPr>
        <w:adjustRightInd w:val="0"/>
        <w:snapToGrid w:val="0"/>
        <w:spacing w:line="500" w:lineRule="exact"/>
        <w:ind w:firstLine="560" w:firstLineChars="200"/>
        <w:rPr>
          <w:rFonts w:ascii="宋体" w:hAnsi="宋体"/>
          <w:sz w:val="28"/>
          <w:szCs w:val="28"/>
        </w:rPr>
      </w:pPr>
      <w:r>
        <w:rPr>
          <w:rFonts w:hint="eastAsia" w:ascii="宋体" w:hAnsi="宋体"/>
          <w:sz w:val="28"/>
          <w:szCs w:val="28"/>
        </w:rPr>
        <w:t>1.1</w:t>
      </w:r>
      <w:r>
        <w:rPr>
          <w:rFonts w:hint="eastAsia" w:ascii="宋体" w:hAnsi="宋体" w:cs="宋体"/>
          <w:sz w:val="28"/>
          <w:szCs w:val="28"/>
        </w:rPr>
        <w:t>乙方未能按</w:t>
      </w:r>
      <w:r>
        <w:rPr>
          <w:rFonts w:hint="eastAsia" w:ascii="宋体" w:hAnsi="宋体"/>
          <w:sz w:val="28"/>
          <w:szCs w:val="28"/>
        </w:rPr>
        <w:t>上级</w:t>
      </w:r>
      <w:r>
        <w:rPr>
          <w:rFonts w:hint="eastAsia" w:ascii="宋体" w:hAnsi="宋体" w:cs="宋体"/>
          <w:sz w:val="28"/>
          <w:szCs w:val="28"/>
        </w:rPr>
        <w:t>要求造成结果失真或未能按进保质完成甲方委托任务的。</w:t>
      </w:r>
    </w:p>
    <w:p w14:paraId="657E7D87">
      <w:pPr>
        <w:adjustRightInd w:val="0"/>
        <w:snapToGrid w:val="0"/>
        <w:spacing w:line="500" w:lineRule="exact"/>
        <w:ind w:firstLine="560" w:firstLineChars="200"/>
        <w:rPr>
          <w:rFonts w:ascii="宋体" w:hAnsi="宋体"/>
          <w:sz w:val="28"/>
          <w:szCs w:val="28"/>
        </w:rPr>
      </w:pPr>
      <w:r>
        <w:rPr>
          <w:rFonts w:hint="eastAsia" w:ascii="宋体" w:hAnsi="宋体"/>
          <w:sz w:val="28"/>
          <w:szCs w:val="28"/>
        </w:rPr>
        <w:t>1.2乙方违反从业道德，影响甲方声誉或投诉查实的。</w:t>
      </w:r>
    </w:p>
    <w:p w14:paraId="0781766C">
      <w:pPr>
        <w:adjustRightInd w:val="0"/>
        <w:snapToGrid w:val="0"/>
        <w:spacing w:line="500" w:lineRule="exact"/>
        <w:ind w:firstLine="560" w:firstLineChars="200"/>
        <w:rPr>
          <w:rFonts w:ascii="宋体" w:hAnsi="宋体"/>
          <w:sz w:val="28"/>
          <w:szCs w:val="28"/>
        </w:rPr>
      </w:pPr>
      <w:r>
        <w:rPr>
          <w:rFonts w:hint="eastAsia" w:ascii="宋体" w:hAnsi="宋体"/>
          <w:sz w:val="28"/>
          <w:szCs w:val="28"/>
        </w:rPr>
        <w:t>2.因解除而终止</w:t>
      </w:r>
    </w:p>
    <w:p w14:paraId="61495595">
      <w:pPr>
        <w:adjustRightInd w:val="0"/>
        <w:snapToGrid w:val="0"/>
        <w:spacing w:line="500" w:lineRule="exact"/>
        <w:ind w:firstLine="560" w:firstLineChars="200"/>
        <w:rPr>
          <w:rFonts w:ascii="宋体" w:hAnsi="宋体"/>
          <w:sz w:val="28"/>
          <w:szCs w:val="28"/>
        </w:rPr>
      </w:pPr>
      <w:r>
        <w:rPr>
          <w:rFonts w:hint="eastAsia" w:ascii="宋体" w:hAnsi="宋体"/>
          <w:sz w:val="28"/>
          <w:szCs w:val="28"/>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6A8D3680">
      <w:pPr>
        <w:adjustRightInd w:val="0"/>
        <w:snapToGrid w:val="0"/>
        <w:spacing w:line="500" w:lineRule="exact"/>
        <w:ind w:firstLine="560" w:firstLineChars="200"/>
        <w:rPr>
          <w:rFonts w:ascii="宋体" w:hAnsi="宋体"/>
          <w:sz w:val="28"/>
          <w:szCs w:val="28"/>
        </w:rPr>
      </w:pPr>
      <w:r>
        <w:rPr>
          <w:rFonts w:hint="eastAsia" w:ascii="宋体" w:hAnsi="宋体"/>
          <w:sz w:val="28"/>
          <w:szCs w:val="28"/>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265BD51B">
      <w:pPr>
        <w:adjustRightInd w:val="0"/>
        <w:snapToGrid w:val="0"/>
        <w:spacing w:line="500" w:lineRule="exact"/>
        <w:ind w:firstLine="560" w:firstLineChars="200"/>
        <w:rPr>
          <w:rFonts w:ascii="宋体" w:hAnsi="宋体"/>
          <w:sz w:val="28"/>
          <w:szCs w:val="28"/>
        </w:rPr>
      </w:pPr>
      <w:r>
        <w:rPr>
          <w:rFonts w:hint="eastAsia" w:ascii="宋体" w:hAnsi="宋体"/>
          <w:sz w:val="28"/>
          <w:szCs w:val="28"/>
        </w:rPr>
        <w:t>2.3合同一方依本合同约定行使解除权的，合同自解除通知送达另一方之日起终止。违约方应当按本合同约定支付违约金或赔偿损失。</w:t>
      </w:r>
    </w:p>
    <w:p w14:paraId="65AB7D5B">
      <w:pPr>
        <w:adjustRightInd w:val="0"/>
        <w:snapToGrid w:val="0"/>
        <w:spacing w:line="500" w:lineRule="exact"/>
        <w:ind w:firstLine="560" w:firstLineChars="200"/>
        <w:rPr>
          <w:rFonts w:ascii="宋体" w:hAnsi="宋体"/>
          <w:sz w:val="28"/>
          <w:szCs w:val="28"/>
        </w:rPr>
      </w:pPr>
      <w:r>
        <w:rPr>
          <w:rFonts w:hint="eastAsia" w:ascii="宋体" w:hAnsi="宋体"/>
          <w:sz w:val="28"/>
          <w:szCs w:val="28"/>
        </w:rPr>
        <w:t>2.4合同终止后，不妨碍守约方向违约方追究违约责任。</w:t>
      </w:r>
    </w:p>
    <w:p w14:paraId="6924498A">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十四．变更指示</w:t>
      </w:r>
    </w:p>
    <w:p w14:paraId="7F0D17F7">
      <w:pPr>
        <w:adjustRightInd w:val="0"/>
        <w:snapToGrid w:val="0"/>
        <w:spacing w:line="500" w:lineRule="exact"/>
        <w:ind w:firstLine="560" w:firstLineChars="200"/>
        <w:rPr>
          <w:rFonts w:ascii="宋体" w:hAnsi="宋体"/>
          <w:sz w:val="28"/>
          <w:szCs w:val="28"/>
        </w:rPr>
      </w:pPr>
      <w:r>
        <w:rPr>
          <w:rFonts w:hint="eastAsia" w:ascii="宋体" w:hAnsi="宋体"/>
          <w:sz w:val="28"/>
          <w:szCs w:val="28"/>
        </w:rPr>
        <w:t>1.甲方有权根据实际需要，在《政府采购法》允许的范围内提出变更要求。</w:t>
      </w:r>
    </w:p>
    <w:p w14:paraId="729DD9AE">
      <w:pPr>
        <w:adjustRightInd w:val="0"/>
        <w:snapToGrid w:val="0"/>
        <w:spacing w:line="500" w:lineRule="exact"/>
        <w:ind w:firstLine="560" w:firstLineChars="200"/>
        <w:rPr>
          <w:rFonts w:ascii="宋体" w:hAnsi="宋体"/>
          <w:sz w:val="28"/>
          <w:szCs w:val="28"/>
        </w:rPr>
      </w:pPr>
      <w:r>
        <w:rPr>
          <w:rFonts w:hint="eastAsia" w:ascii="宋体" w:hAnsi="宋体"/>
          <w:sz w:val="28"/>
          <w:szCs w:val="28"/>
        </w:rPr>
        <w:t>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p>
    <w:p w14:paraId="658CE98A">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十五．合同修改</w:t>
      </w:r>
    </w:p>
    <w:p w14:paraId="4272AF58">
      <w:pPr>
        <w:adjustRightInd w:val="0"/>
        <w:snapToGrid w:val="0"/>
        <w:spacing w:line="500" w:lineRule="exact"/>
        <w:ind w:firstLine="560" w:firstLineChars="200"/>
        <w:rPr>
          <w:rFonts w:ascii="宋体" w:hAnsi="宋体"/>
          <w:sz w:val="28"/>
          <w:szCs w:val="28"/>
        </w:rPr>
      </w:pPr>
      <w:r>
        <w:rPr>
          <w:rFonts w:hint="eastAsia" w:ascii="宋体" w:hAnsi="宋体"/>
          <w:sz w:val="28"/>
          <w:szCs w:val="28"/>
        </w:rPr>
        <w:t>1.对合同条款作出任何改动或偏离，均须甲乙双方签署书面的合同修改书。</w:t>
      </w:r>
    </w:p>
    <w:p w14:paraId="15767014">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十六．适用法律</w:t>
      </w:r>
    </w:p>
    <w:p w14:paraId="66CABBBE">
      <w:pPr>
        <w:adjustRightInd w:val="0"/>
        <w:snapToGrid w:val="0"/>
        <w:spacing w:line="500" w:lineRule="exact"/>
        <w:ind w:firstLine="560" w:firstLineChars="200"/>
        <w:rPr>
          <w:rFonts w:ascii="宋体" w:hAnsi="宋体"/>
          <w:sz w:val="28"/>
          <w:szCs w:val="28"/>
        </w:rPr>
      </w:pPr>
      <w:r>
        <w:rPr>
          <w:rFonts w:hint="eastAsia" w:ascii="宋体" w:hAnsi="宋体"/>
          <w:sz w:val="28"/>
          <w:szCs w:val="28"/>
        </w:rPr>
        <w:t>l.本合同应按中华人民共和国的法律解释。</w:t>
      </w:r>
    </w:p>
    <w:p w14:paraId="1EC62C09">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十七．语言与计量单位</w:t>
      </w:r>
    </w:p>
    <w:p w14:paraId="185875B6">
      <w:pPr>
        <w:adjustRightInd w:val="0"/>
        <w:snapToGrid w:val="0"/>
        <w:spacing w:line="500" w:lineRule="exact"/>
        <w:ind w:firstLine="560" w:firstLineChars="200"/>
        <w:rPr>
          <w:rFonts w:ascii="宋体" w:hAnsi="宋体"/>
          <w:sz w:val="28"/>
          <w:szCs w:val="28"/>
        </w:rPr>
      </w:pPr>
      <w:r>
        <w:rPr>
          <w:rFonts w:hint="eastAsia" w:ascii="宋体" w:hAnsi="宋体"/>
          <w:sz w:val="28"/>
          <w:szCs w:val="28"/>
        </w:rPr>
        <w:t>1.合同书写应用中文。甲乙双方所有的来往函电以及与合同有关的文件均应以中文书写。</w:t>
      </w:r>
    </w:p>
    <w:p w14:paraId="26A6C89E">
      <w:pPr>
        <w:adjustRightInd w:val="0"/>
        <w:snapToGrid w:val="0"/>
        <w:spacing w:line="500" w:lineRule="exact"/>
        <w:ind w:firstLine="560" w:firstLineChars="200"/>
        <w:rPr>
          <w:rFonts w:ascii="宋体" w:hAnsi="宋体"/>
          <w:sz w:val="28"/>
          <w:szCs w:val="28"/>
        </w:rPr>
      </w:pPr>
      <w:r>
        <w:rPr>
          <w:rFonts w:hint="eastAsia" w:ascii="宋体" w:hAnsi="宋体"/>
          <w:sz w:val="28"/>
          <w:szCs w:val="28"/>
        </w:rPr>
        <w:t>2.除技术规格中另有规定外，计量单位均使用国际单位制。</w:t>
      </w:r>
    </w:p>
    <w:p w14:paraId="41337C0E">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十八．通知</w:t>
      </w:r>
    </w:p>
    <w:p w14:paraId="396F01E4">
      <w:pPr>
        <w:adjustRightInd w:val="0"/>
        <w:snapToGrid w:val="0"/>
        <w:spacing w:line="500" w:lineRule="exact"/>
        <w:ind w:firstLine="560" w:firstLineChars="200"/>
        <w:rPr>
          <w:rFonts w:ascii="宋体" w:hAnsi="宋体"/>
          <w:sz w:val="28"/>
          <w:szCs w:val="28"/>
        </w:rPr>
      </w:pPr>
      <w:r>
        <w:rPr>
          <w:rFonts w:hint="eastAsia" w:ascii="宋体" w:hAnsi="宋体"/>
          <w:sz w:val="28"/>
          <w:szCs w:val="28"/>
        </w:rPr>
        <w:t>1.本合同任何一方给另一方的通知都应以书面形式发送，而另一方应以书面形式确认并发送到对方明确的地址。</w:t>
      </w:r>
    </w:p>
    <w:p w14:paraId="53FB8AD0">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十九．合同文件及资料的保密</w:t>
      </w:r>
    </w:p>
    <w:p w14:paraId="468824C8">
      <w:pPr>
        <w:adjustRightInd w:val="0"/>
        <w:snapToGrid w:val="0"/>
        <w:spacing w:line="500" w:lineRule="exact"/>
        <w:ind w:firstLine="542" w:firstLineChars="200"/>
        <w:rPr>
          <w:rFonts w:ascii="宋体" w:hAnsi="宋体"/>
          <w:w w:val="97"/>
          <w:sz w:val="28"/>
          <w:szCs w:val="28"/>
        </w:rPr>
      </w:pPr>
      <w:r>
        <w:rPr>
          <w:rFonts w:hint="eastAsia" w:ascii="宋体" w:hAnsi="宋体"/>
          <w:w w:val="97"/>
          <w:sz w:val="28"/>
          <w:szCs w:val="28"/>
        </w:rPr>
        <w:t>1.在未经甲方同意的情况下，乙方不得将合同、合同中的规定、有关研究、设计图纸、式样、样本或甲方为乙方提供的资料透露给任何人。</w:t>
      </w:r>
    </w:p>
    <w:p w14:paraId="073851B1">
      <w:pPr>
        <w:adjustRightInd w:val="0"/>
        <w:snapToGrid w:val="0"/>
        <w:spacing w:line="500" w:lineRule="exact"/>
        <w:ind w:firstLine="560" w:firstLineChars="200"/>
        <w:rPr>
          <w:rFonts w:ascii="宋体" w:hAnsi="宋体"/>
          <w:sz w:val="28"/>
          <w:szCs w:val="28"/>
        </w:rPr>
      </w:pPr>
      <w:r>
        <w:rPr>
          <w:rFonts w:hint="eastAsia" w:ascii="宋体" w:hAnsi="宋体"/>
          <w:sz w:val="28"/>
          <w:szCs w:val="28"/>
        </w:rPr>
        <w:t>2.除合同本身以外，乙方从甲方处获得的所有资料其知识产权归甲方所有，乙方应于其合同义务履行完毕以后将这些资料（包括所有副本）退还甲方。</w:t>
      </w:r>
    </w:p>
    <w:p w14:paraId="5B777684">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二十．合同生效及其他</w:t>
      </w:r>
    </w:p>
    <w:p w14:paraId="650A9E5A">
      <w:pPr>
        <w:adjustRightInd w:val="0"/>
        <w:snapToGrid w:val="0"/>
        <w:spacing w:line="500" w:lineRule="exact"/>
        <w:ind w:firstLine="560" w:firstLineChars="200"/>
        <w:rPr>
          <w:rFonts w:ascii="宋体" w:hAnsi="宋体"/>
          <w:sz w:val="28"/>
          <w:szCs w:val="28"/>
        </w:rPr>
      </w:pPr>
      <w:r>
        <w:rPr>
          <w:rFonts w:hint="eastAsia" w:ascii="宋体" w:hAnsi="宋体"/>
          <w:sz w:val="28"/>
          <w:szCs w:val="28"/>
        </w:rPr>
        <w:t>1.除合同中另有说明，本合同经双方法定代表人或其委托代理人签字并加盖公章或合同专用章后，即开始生效。</w:t>
      </w:r>
    </w:p>
    <w:p w14:paraId="5AC0D038">
      <w:pPr>
        <w:adjustRightInd w:val="0"/>
        <w:snapToGrid w:val="0"/>
        <w:spacing w:line="500" w:lineRule="exact"/>
        <w:ind w:firstLine="560" w:firstLineChars="200"/>
        <w:rPr>
          <w:rFonts w:ascii="宋体" w:hAnsi="宋体"/>
          <w:sz w:val="28"/>
          <w:szCs w:val="28"/>
        </w:rPr>
      </w:pPr>
      <w:r>
        <w:rPr>
          <w:rFonts w:hint="eastAsia" w:ascii="宋体" w:hAnsi="宋体"/>
          <w:sz w:val="28"/>
          <w:szCs w:val="28"/>
        </w:rPr>
        <w:t>2.合同一式肆份，具有同等法律效力。</w:t>
      </w:r>
    </w:p>
    <w:p w14:paraId="7D379DCA">
      <w:pPr>
        <w:adjustRightInd w:val="0"/>
        <w:snapToGrid w:val="0"/>
        <w:spacing w:line="500" w:lineRule="exact"/>
        <w:ind w:firstLine="562" w:firstLineChars="200"/>
        <w:rPr>
          <w:rFonts w:ascii="宋体" w:hAnsi="宋体"/>
          <w:b/>
          <w:sz w:val="28"/>
          <w:szCs w:val="28"/>
        </w:rPr>
      </w:pPr>
      <w:r>
        <w:rPr>
          <w:rFonts w:hint="eastAsia" w:ascii="宋体" w:hAnsi="宋体"/>
          <w:b/>
          <w:sz w:val="28"/>
          <w:szCs w:val="28"/>
        </w:rPr>
        <w:t>二十一．合同文件及解释顺序</w:t>
      </w:r>
    </w:p>
    <w:p w14:paraId="4B329B6C">
      <w:pPr>
        <w:adjustRightInd w:val="0"/>
        <w:snapToGrid w:val="0"/>
        <w:spacing w:line="500" w:lineRule="exact"/>
        <w:ind w:firstLine="560" w:firstLineChars="200"/>
        <w:rPr>
          <w:rFonts w:ascii="宋体" w:hAnsi="宋体"/>
          <w:sz w:val="28"/>
          <w:szCs w:val="28"/>
        </w:rPr>
      </w:pPr>
      <w:r>
        <w:rPr>
          <w:rFonts w:hint="eastAsia" w:ascii="宋体" w:hAnsi="宋体"/>
          <w:sz w:val="28"/>
          <w:szCs w:val="28"/>
        </w:rPr>
        <w:t>下列文件均为合同组成文件</w:t>
      </w:r>
    </w:p>
    <w:p w14:paraId="1B5FE955">
      <w:pPr>
        <w:adjustRightInd w:val="0"/>
        <w:snapToGrid w:val="0"/>
        <w:spacing w:line="500" w:lineRule="exact"/>
        <w:ind w:firstLine="560" w:firstLineChars="200"/>
        <w:rPr>
          <w:rFonts w:ascii="宋体" w:hAnsi="宋体"/>
          <w:sz w:val="28"/>
          <w:szCs w:val="28"/>
        </w:rPr>
      </w:pPr>
      <w:r>
        <w:rPr>
          <w:rFonts w:hint="eastAsia" w:ascii="宋体" w:hAnsi="宋体"/>
          <w:sz w:val="28"/>
          <w:szCs w:val="28"/>
        </w:rPr>
        <w:t>1.招标文件（包括澄清、答疑、修改和补充通知）</w:t>
      </w:r>
    </w:p>
    <w:p w14:paraId="68828EBD">
      <w:pPr>
        <w:adjustRightInd w:val="0"/>
        <w:snapToGrid w:val="0"/>
        <w:spacing w:line="500" w:lineRule="exact"/>
        <w:ind w:firstLine="560" w:firstLineChars="200"/>
        <w:rPr>
          <w:rFonts w:ascii="宋体" w:hAnsi="宋体"/>
          <w:sz w:val="28"/>
          <w:szCs w:val="28"/>
        </w:rPr>
      </w:pPr>
      <w:r>
        <w:rPr>
          <w:rFonts w:hint="eastAsia" w:ascii="宋体" w:hAnsi="宋体"/>
          <w:sz w:val="28"/>
          <w:szCs w:val="28"/>
        </w:rPr>
        <w:t>2.投标文件（包括修改、澄清）</w:t>
      </w:r>
    </w:p>
    <w:p w14:paraId="37A311EE">
      <w:pPr>
        <w:adjustRightInd w:val="0"/>
        <w:snapToGrid w:val="0"/>
        <w:spacing w:line="500" w:lineRule="exact"/>
        <w:ind w:firstLine="560" w:firstLineChars="200"/>
        <w:rPr>
          <w:rFonts w:ascii="宋体" w:hAnsi="宋体"/>
          <w:sz w:val="28"/>
          <w:szCs w:val="28"/>
        </w:rPr>
      </w:pPr>
      <w:r>
        <w:rPr>
          <w:rFonts w:hint="eastAsia" w:ascii="宋体" w:hAnsi="宋体"/>
          <w:sz w:val="28"/>
          <w:szCs w:val="28"/>
        </w:rPr>
        <w:t>3.中标通知书（包括投标人“回执”）</w:t>
      </w:r>
    </w:p>
    <w:p w14:paraId="1EE92BCE">
      <w:pPr>
        <w:adjustRightInd w:val="0"/>
        <w:snapToGrid w:val="0"/>
        <w:spacing w:line="500" w:lineRule="exact"/>
        <w:ind w:firstLine="560" w:firstLineChars="200"/>
        <w:rPr>
          <w:rFonts w:ascii="宋体" w:hAnsi="宋体"/>
          <w:sz w:val="28"/>
          <w:szCs w:val="28"/>
        </w:rPr>
      </w:pPr>
      <w:r>
        <w:rPr>
          <w:rFonts w:hint="eastAsia" w:ascii="宋体" w:hAnsi="宋体"/>
          <w:sz w:val="28"/>
          <w:szCs w:val="28"/>
        </w:rPr>
        <w:t>4.双方商定的补充协议或合同期内双方签署的备忘录</w:t>
      </w:r>
    </w:p>
    <w:p w14:paraId="7DE5B915">
      <w:pPr>
        <w:adjustRightInd w:val="0"/>
        <w:snapToGrid w:val="0"/>
        <w:spacing w:line="500" w:lineRule="exact"/>
        <w:ind w:firstLine="560" w:firstLineChars="200"/>
        <w:rPr>
          <w:rFonts w:ascii="宋体" w:hAnsi="宋体"/>
          <w:sz w:val="28"/>
          <w:szCs w:val="28"/>
        </w:rPr>
      </w:pPr>
      <w:r>
        <w:rPr>
          <w:rFonts w:hint="eastAsia" w:ascii="宋体" w:hAnsi="宋体"/>
          <w:sz w:val="28"/>
          <w:szCs w:val="28"/>
        </w:rPr>
        <w:t>5.双方签署的合同谈判备忘录</w:t>
      </w:r>
    </w:p>
    <w:p w14:paraId="43FA96F6">
      <w:pPr>
        <w:adjustRightInd w:val="0"/>
        <w:snapToGrid w:val="0"/>
        <w:spacing w:line="500" w:lineRule="exact"/>
        <w:ind w:firstLine="560" w:firstLineChars="200"/>
        <w:rPr>
          <w:rFonts w:ascii="宋体" w:hAnsi="宋体"/>
          <w:sz w:val="28"/>
          <w:szCs w:val="28"/>
        </w:rPr>
      </w:pPr>
      <w:r>
        <w:rPr>
          <w:rFonts w:hint="eastAsia" w:ascii="宋体" w:hAnsi="宋体"/>
          <w:sz w:val="28"/>
          <w:szCs w:val="28"/>
        </w:rPr>
        <w:t>6.与本合同有关的其他文件</w:t>
      </w:r>
    </w:p>
    <w:p w14:paraId="774B6A41">
      <w:pPr>
        <w:autoSpaceDE w:val="0"/>
        <w:autoSpaceDN w:val="0"/>
        <w:adjustRightInd w:val="0"/>
        <w:snapToGrid w:val="0"/>
        <w:spacing w:line="500" w:lineRule="exact"/>
        <w:ind w:firstLine="420"/>
        <w:jc w:val="left"/>
        <w:rPr>
          <w:rFonts w:ascii="宋体" w:hAnsi="宋体"/>
          <w:b/>
          <w:bCs/>
          <w:sz w:val="28"/>
          <w:szCs w:val="28"/>
          <w:lang w:val="zh-CN"/>
        </w:rPr>
      </w:pPr>
      <w:r>
        <w:rPr>
          <w:rFonts w:hint="eastAsia" w:ascii="宋体" w:hAnsi="宋体"/>
          <w:b/>
          <w:bCs/>
          <w:sz w:val="28"/>
          <w:szCs w:val="28"/>
          <w:lang w:val="zh-CN"/>
        </w:rPr>
        <w:t>二十二</w:t>
      </w:r>
      <w:r>
        <w:rPr>
          <w:rFonts w:hint="eastAsia" w:ascii="宋体" w:hAnsi="宋体"/>
          <w:b/>
          <w:sz w:val="28"/>
          <w:szCs w:val="28"/>
        </w:rPr>
        <w:t>．</w:t>
      </w:r>
      <w:r>
        <w:rPr>
          <w:rFonts w:hint="eastAsia" w:ascii="宋体" w:hAnsi="宋体"/>
          <w:b/>
          <w:bCs/>
          <w:sz w:val="28"/>
          <w:szCs w:val="28"/>
          <w:lang w:val="zh-CN"/>
        </w:rPr>
        <w:t>合同的变更和终止</w:t>
      </w:r>
    </w:p>
    <w:p w14:paraId="06F38AE2">
      <w:pPr>
        <w:adjustRightInd w:val="0"/>
        <w:snapToGrid w:val="0"/>
        <w:spacing w:line="500" w:lineRule="exact"/>
        <w:ind w:firstLine="560" w:firstLineChars="200"/>
        <w:rPr>
          <w:rFonts w:ascii="宋体" w:hAnsi="宋体"/>
          <w:sz w:val="28"/>
          <w:szCs w:val="28"/>
        </w:rPr>
      </w:pPr>
      <w:r>
        <w:rPr>
          <w:rFonts w:hint="eastAsia" w:ascii="宋体" w:hAnsi="宋体"/>
          <w:sz w:val="28"/>
          <w:szCs w:val="28"/>
        </w:rPr>
        <w:t>1.除《政府采购法》第50条第二款规定的情形外，本合同一经签订，甲乙双方不得擅自变更、中止或终止合同。</w:t>
      </w:r>
    </w:p>
    <w:p w14:paraId="3C34D70F">
      <w:pPr>
        <w:adjustRightInd w:val="0"/>
        <w:snapToGrid w:val="0"/>
        <w:spacing w:line="500" w:lineRule="exact"/>
        <w:ind w:firstLine="560" w:firstLineChars="200"/>
        <w:rPr>
          <w:rFonts w:ascii="宋体" w:hAnsi="宋体"/>
          <w:sz w:val="28"/>
          <w:szCs w:val="28"/>
        </w:rPr>
      </w:pPr>
      <w:r>
        <w:rPr>
          <w:rFonts w:hint="eastAsia" w:ascii="宋体" w:hAnsi="宋体"/>
          <w:sz w:val="28"/>
          <w:szCs w:val="28"/>
        </w:rPr>
        <w:t>2.除发生法律规定的不能预见、不能避免并不能克服的客观情况外，甲乙双方不得放弃或拒绝履行合同。乙方放弃或拒绝履行合同，在三年内不得参加政府采购活动。</w:t>
      </w:r>
    </w:p>
    <w:p w14:paraId="69F05E88">
      <w:pPr>
        <w:adjustRightInd w:val="0"/>
        <w:snapToGrid w:val="0"/>
        <w:spacing w:line="500" w:lineRule="exact"/>
        <w:jc w:val="center"/>
        <w:rPr>
          <w:rFonts w:eastAsia="黑体"/>
          <w:sz w:val="52"/>
        </w:rPr>
      </w:pPr>
    </w:p>
    <w:p w14:paraId="45530133">
      <w:pPr>
        <w:adjustRightInd w:val="0"/>
        <w:snapToGrid w:val="0"/>
        <w:spacing w:line="500" w:lineRule="exact"/>
        <w:rPr>
          <w:rFonts w:ascii="宋体" w:hAnsi="宋体"/>
          <w:sz w:val="28"/>
          <w:szCs w:val="28"/>
        </w:rPr>
      </w:pPr>
      <w:r>
        <w:rPr>
          <w:rFonts w:hint="eastAsia" w:ascii="宋体" w:hAnsi="宋体"/>
          <w:sz w:val="28"/>
          <w:szCs w:val="28"/>
        </w:rPr>
        <w:t>甲方：（盖章）                乙方：（盖章）</w:t>
      </w:r>
    </w:p>
    <w:p w14:paraId="012190B9">
      <w:pPr>
        <w:adjustRightInd w:val="0"/>
        <w:snapToGrid w:val="0"/>
        <w:spacing w:line="500" w:lineRule="exact"/>
        <w:rPr>
          <w:rFonts w:ascii="宋体" w:hAnsi="宋体"/>
          <w:sz w:val="28"/>
          <w:szCs w:val="28"/>
        </w:rPr>
      </w:pPr>
      <w:r>
        <w:rPr>
          <w:rFonts w:hint="eastAsia" w:ascii="宋体" w:hAnsi="宋体"/>
          <w:sz w:val="28"/>
          <w:szCs w:val="28"/>
        </w:rPr>
        <w:t>法定代表人                    法定代表人</w:t>
      </w:r>
    </w:p>
    <w:p w14:paraId="3CF5002B">
      <w:pPr>
        <w:adjustRightInd w:val="0"/>
        <w:snapToGrid w:val="0"/>
        <w:spacing w:line="500" w:lineRule="exact"/>
        <w:rPr>
          <w:rFonts w:ascii="宋体" w:hAnsi="宋体"/>
          <w:sz w:val="28"/>
          <w:szCs w:val="28"/>
        </w:rPr>
      </w:pPr>
      <w:r>
        <w:rPr>
          <w:rFonts w:hint="eastAsia" w:ascii="宋体" w:hAnsi="宋体"/>
          <w:sz w:val="28"/>
          <w:szCs w:val="28"/>
        </w:rPr>
        <w:t>（或授权代理人）：           （或授权代理人）：</w:t>
      </w:r>
    </w:p>
    <w:p w14:paraId="6DAEBF62">
      <w:pPr>
        <w:adjustRightInd w:val="0"/>
        <w:snapToGrid w:val="0"/>
        <w:spacing w:line="500" w:lineRule="exact"/>
        <w:rPr>
          <w:rFonts w:ascii="宋体" w:hAnsi="宋体"/>
          <w:sz w:val="28"/>
          <w:szCs w:val="28"/>
        </w:rPr>
      </w:pPr>
      <w:r>
        <w:rPr>
          <w:rFonts w:hint="eastAsia" w:ascii="宋体" w:hAnsi="宋体"/>
          <w:sz w:val="28"/>
          <w:szCs w:val="28"/>
        </w:rPr>
        <w:t>单位地址：</w:t>
      </w:r>
      <w:r>
        <w:rPr>
          <w:rFonts w:hint="eastAsia" w:ascii="宋体" w:hAnsi="宋体"/>
          <w:sz w:val="28"/>
          <w:szCs w:val="28"/>
          <w:lang w:eastAsia="zh-CN"/>
        </w:rPr>
        <w:t>泰兴市银兴东路1号</w:t>
      </w:r>
      <w:r>
        <w:rPr>
          <w:rFonts w:hint="eastAsia" w:ascii="宋体" w:hAnsi="宋体"/>
          <w:sz w:val="28"/>
          <w:szCs w:val="28"/>
        </w:rPr>
        <w:t xml:space="preserve">   单位地址：</w:t>
      </w:r>
    </w:p>
    <w:p w14:paraId="34419455">
      <w:pPr>
        <w:adjustRightInd w:val="0"/>
        <w:snapToGrid w:val="0"/>
        <w:spacing w:line="500" w:lineRule="exact"/>
        <w:rPr>
          <w:rFonts w:ascii="宋体" w:hAnsi="宋体"/>
          <w:sz w:val="28"/>
          <w:szCs w:val="28"/>
        </w:rPr>
      </w:pPr>
      <w:r>
        <w:rPr>
          <w:rFonts w:hint="eastAsia" w:ascii="宋体" w:hAnsi="宋体"/>
          <w:sz w:val="28"/>
          <w:szCs w:val="28"/>
        </w:rPr>
        <w:t>邮    编： 225400             邮    编：</w:t>
      </w:r>
    </w:p>
    <w:p w14:paraId="785EB104">
      <w:pPr>
        <w:adjustRightInd w:val="0"/>
        <w:snapToGrid w:val="0"/>
        <w:spacing w:line="500" w:lineRule="exact"/>
        <w:rPr>
          <w:rFonts w:ascii="宋体" w:hAnsi="宋体"/>
          <w:sz w:val="28"/>
          <w:szCs w:val="28"/>
        </w:rPr>
      </w:pPr>
      <w:r>
        <w:rPr>
          <w:rFonts w:hint="eastAsia" w:ascii="宋体" w:hAnsi="宋体"/>
          <w:sz w:val="28"/>
          <w:szCs w:val="28"/>
        </w:rPr>
        <w:t>电    话：0523-</w:t>
      </w:r>
      <w:r>
        <w:rPr>
          <w:rFonts w:hint="eastAsia" w:ascii="宋体" w:hAnsi="宋体"/>
          <w:sz w:val="28"/>
          <w:szCs w:val="28"/>
          <w:lang w:eastAsia="zh-CN"/>
        </w:rPr>
        <w:t>87900059</w:t>
      </w:r>
      <w:r>
        <w:rPr>
          <w:rFonts w:hint="eastAsia" w:ascii="宋体" w:hAnsi="宋体"/>
          <w:sz w:val="28"/>
          <w:szCs w:val="28"/>
        </w:rPr>
        <w:t xml:space="preserve">       电    话：</w:t>
      </w:r>
    </w:p>
    <w:p w14:paraId="02EBD12E">
      <w:pPr>
        <w:adjustRightInd w:val="0"/>
        <w:snapToGrid w:val="0"/>
        <w:spacing w:line="500" w:lineRule="exact"/>
        <w:rPr>
          <w:rFonts w:ascii="宋体" w:hAnsi="宋体"/>
          <w:sz w:val="28"/>
          <w:szCs w:val="28"/>
        </w:rPr>
      </w:pPr>
      <w:r>
        <w:rPr>
          <w:rFonts w:hint="eastAsia" w:ascii="宋体" w:hAnsi="宋体"/>
          <w:sz w:val="28"/>
          <w:szCs w:val="28"/>
        </w:rPr>
        <w:t>传    真：                    传    真：</w:t>
      </w:r>
    </w:p>
    <w:p w14:paraId="2625B722">
      <w:pPr>
        <w:adjustRightInd w:val="0"/>
        <w:snapToGrid w:val="0"/>
        <w:spacing w:line="500" w:lineRule="exact"/>
        <w:rPr>
          <w:rFonts w:ascii="宋体" w:hAnsi="宋体"/>
          <w:sz w:val="28"/>
          <w:szCs w:val="28"/>
        </w:rPr>
      </w:pPr>
      <w:r>
        <w:rPr>
          <w:rFonts w:hint="eastAsia" w:ascii="宋体" w:hAnsi="宋体"/>
          <w:sz w:val="28"/>
          <w:szCs w:val="28"/>
        </w:rPr>
        <w:t>开户银行：                    开户银行：</w:t>
      </w:r>
    </w:p>
    <w:p w14:paraId="3F411EA8">
      <w:pPr>
        <w:tabs>
          <w:tab w:val="left" w:pos="4680"/>
          <w:tab w:val="left" w:pos="4860"/>
        </w:tabs>
        <w:adjustRightInd w:val="0"/>
        <w:snapToGrid w:val="0"/>
        <w:spacing w:line="500" w:lineRule="exact"/>
        <w:rPr>
          <w:rFonts w:ascii="宋体" w:cs="宋体"/>
          <w:sz w:val="21"/>
          <w:szCs w:val="21"/>
        </w:rPr>
      </w:pPr>
      <w:r>
        <w:rPr>
          <w:rFonts w:hint="eastAsia" w:ascii="宋体" w:hAnsi="宋体"/>
          <w:sz w:val="28"/>
          <w:szCs w:val="28"/>
        </w:rPr>
        <w:t>账    号：                    账    号：</w:t>
      </w:r>
    </w:p>
    <w:bookmarkEnd w:id="242"/>
    <w:bookmarkEnd w:id="243"/>
    <w:bookmarkEnd w:id="244"/>
    <w:bookmarkEnd w:id="245"/>
    <w:bookmarkEnd w:id="246"/>
    <w:bookmarkEnd w:id="247"/>
    <w:bookmarkEnd w:id="248"/>
    <w:bookmarkEnd w:id="249"/>
    <w:bookmarkEnd w:id="250"/>
    <w:p w14:paraId="079CDC33">
      <w:pPr>
        <w:pStyle w:val="6"/>
      </w:pPr>
    </w:p>
    <w:p w14:paraId="4FC37A9E">
      <w:pPr>
        <w:pStyle w:val="6"/>
      </w:pPr>
    </w:p>
    <w:p w14:paraId="4D9E8A24">
      <w:pPr>
        <w:widowControl/>
        <w:numPr>
          <w:ilvl w:val="0"/>
          <w:numId w:val="1"/>
        </w:numPr>
        <w:ind w:left="0" w:leftChars="0" w:firstLine="0" w:firstLineChars="0"/>
        <w:jc w:val="center"/>
        <w:rPr>
          <w:rFonts w:ascii="黑体" w:hAnsi="黑体" w:eastAsia="黑体"/>
          <w:b/>
          <w:sz w:val="44"/>
          <w:szCs w:val="44"/>
        </w:rPr>
      </w:pPr>
      <w:r>
        <w:rPr>
          <w:rFonts w:ascii="黑体" w:hAnsi="黑体" w:eastAsia="黑体"/>
          <w:sz w:val="44"/>
          <w:szCs w:val="44"/>
        </w:rPr>
        <w:br w:type="page"/>
      </w:r>
      <w:r>
        <w:rPr>
          <w:rFonts w:ascii="黑体" w:hAnsi="黑体" w:eastAsia="黑体"/>
          <w:b/>
          <w:sz w:val="44"/>
          <w:szCs w:val="44"/>
        </w:rPr>
        <w:t xml:space="preserve"> </w:t>
      </w:r>
      <w:r>
        <w:rPr>
          <w:rFonts w:hint="eastAsia" w:ascii="黑体" w:hAnsi="黑体" w:eastAsia="黑体"/>
          <w:b/>
          <w:sz w:val="44"/>
          <w:szCs w:val="44"/>
          <w:lang w:val="en-US" w:eastAsia="zh-CN"/>
        </w:rPr>
        <w:t>采购需求</w:t>
      </w:r>
    </w:p>
    <w:p w14:paraId="55636350">
      <w:pPr>
        <w:spacing w:line="500" w:lineRule="exact"/>
        <w:rPr>
          <w:rFonts w:ascii="宋体" w:hAnsi="宋体" w:cs="宋体"/>
          <w:b/>
          <w:sz w:val="28"/>
          <w:szCs w:val="28"/>
        </w:rPr>
      </w:pPr>
      <w:r>
        <w:rPr>
          <w:rFonts w:hint="eastAsia" w:ascii="宋体" w:hAnsi="宋体" w:cs="宋体"/>
          <w:b/>
          <w:sz w:val="28"/>
          <w:szCs w:val="28"/>
          <w:lang w:eastAsia="zh-CN"/>
        </w:rPr>
        <w:t>泰兴市中医院、</w:t>
      </w:r>
      <w:r>
        <w:rPr>
          <w:rFonts w:hint="eastAsia" w:ascii="宋体" w:hAnsi="宋体" w:cs="宋体"/>
          <w:b/>
          <w:sz w:val="28"/>
          <w:szCs w:val="28"/>
          <w:lang w:val="en-US" w:eastAsia="zh-CN"/>
        </w:rPr>
        <w:t>妇幼保健院</w:t>
      </w:r>
      <w:r>
        <w:rPr>
          <w:rFonts w:hint="eastAsia" w:ascii="宋体" w:hAnsi="宋体" w:cs="宋体"/>
          <w:b/>
          <w:sz w:val="28"/>
          <w:szCs w:val="28"/>
        </w:rPr>
        <w:t>物业管理服务需求：</w:t>
      </w:r>
    </w:p>
    <w:p w14:paraId="71C46995">
      <w:pPr>
        <w:spacing w:line="500" w:lineRule="exact"/>
        <w:ind w:firstLine="562" w:firstLineChars="200"/>
        <w:rPr>
          <w:rFonts w:ascii="宋体" w:hAnsi="宋体" w:cs="宋体"/>
          <w:b/>
          <w:sz w:val="28"/>
          <w:szCs w:val="28"/>
        </w:rPr>
      </w:pPr>
      <w:r>
        <w:rPr>
          <w:rFonts w:hint="eastAsia" w:ascii="宋体" w:hAnsi="宋体" w:cs="宋体"/>
          <w:b/>
          <w:sz w:val="28"/>
          <w:szCs w:val="28"/>
        </w:rPr>
        <w:t>服务范围为</w:t>
      </w:r>
      <w:r>
        <w:rPr>
          <w:rFonts w:hint="eastAsia" w:ascii="宋体" w:hAnsi="宋体" w:cs="宋体"/>
          <w:b/>
          <w:sz w:val="28"/>
          <w:szCs w:val="28"/>
          <w:lang w:eastAsia="zh-CN"/>
        </w:rPr>
        <w:t>泰兴市中医院、</w:t>
      </w:r>
      <w:r>
        <w:rPr>
          <w:rFonts w:hint="eastAsia" w:ascii="宋体" w:hAnsi="宋体" w:cs="宋体"/>
          <w:b/>
          <w:sz w:val="28"/>
          <w:szCs w:val="28"/>
          <w:lang w:val="en-US" w:eastAsia="zh-CN"/>
        </w:rPr>
        <w:t>泰兴市妇幼保健院</w:t>
      </w:r>
      <w:r>
        <w:rPr>
          <w:rFonts w:hint="eastAsia" w:ascii="宋体" w:hAnsi="宋体" w:cs="宋体"/>
          <w:b/>
          <w:sz w:val="28"/>
          <w:szCs w:val="28"/>
        </w:rPr>
        <w:t>(包括</w:t>
      </w:r>
      <w:r>
        <w:rPr>
          <w:rFonts w:hint="eastAsia" w:ascii="宋体" w:hAnsi="宋体" w:cs="宋体"/>
          <w:b/>
          <w:sz w:val="28"/>
          <w:szCs w:val="28"/>
          <w:lang w:val="en-US" w:eastAsia="zh-CN"/>
        </w:rPr>
        <w:t>门诊楼</w:t>
      </w:r>
      <w:r>
        <w:rPr>
          <w:rFonts w:hint="eastAsia" w:ascii="宋体" w:hAnsi="宋体" w:cs="宋体"/>
          <w:b/>
          <w:sz w:val="28"/>
          <w:szCs w:val="28"/>
        </w:rPr>
        <w:t>、</w:t>
      </w:r>
      <w:r>
        <w:rPr>
          <w:rFonts w:hint="eastAsia" w:ascii="宋体" w:hAnsi="宋体" w:cs="宋体"/>
          <w:b/>
          <w:sz w:val="28"/>
          <w:szCs w:val="28"/>
          <w:lang w:val="en-US" w:eastAsia="zh-CN"/>
        </w:rPr>
        <w:t>病房楼</w:t>
      </w:r>
      <w:r>
        <w:rPr>
          <w:rFonts w:hint="eastAsia" w:ascii="宋体" w:hAnsi="宋体" w:cs="宋体"/>
          <w:b/>
          <w:sz w:val="28"/>
          <w:szCs w:val="28"/>
        </w:rPr>
        <w:t>、行政</w:t>
      </w:r>
      <w:r>
        <w:rPr>
          <w:rFonts w:hint="eastAsia" w:ascii="宋体" w:hAnsi="宋体" w:cs="宋体"/>
          <w:b/>
          <w:sz w:val="28"/>
          <w:szCs w:val="28"/>
          <w:lang w:val="en-US" w:eastAsia="zh-CN"/>
        </w:rPr>
        <w:t>综合</w:t>
      </w:r>
      <w:r>
        <w:rPr>
          <w:rFonts w:hint="eastAsia" w:ascii="宋体" w:hAnsi="宋体" w:cs="宋体"/>
          <w:b/>
          <w:sz w:val="28"/>
          <w:szCs w:val="28"/>
        </w:rPr>
        <w:t>楼及各行政办公区等）（以下简称两院区）。</w:t>
      </w:r>
    </w:p>
    <w:p w14:paraId="792EE015">
      <w:pPr>
        <w:spacing w:line="500" w:lineRule="exact"/>
        <w:rPr>
          <w:rFonts w:ascii="宋体" w:hAnsi="宋体" w:cs="宋体"/>
          <w:b/>
          <w:sz w:val="28"/>
          <w:szCs w:val="28"/>
        </w:rPr>
      </w:pPr>
      <w:r>
        <w:rPr>
          <w:rFonts w:hint="eastAsia" w:ascii="宋体" w:hAnsi="宋体" w:cs="宋体"/>
          <w:b/>
          <w:sz w:val="28"/>
          <w:szCs w:val="28"/>
        </w:rPr>
        <w:t>（具体情况请投标人到现场进行考察）</w:t>
      </w:r>
    </w:p>
    <w:p w14:paraId="209BD4CE">
      <w:pPr>
        <w:spacing w:line="500" w:lineRule="exact"/>
        <w:rPr>
          <w:rFonts w:ascii="宋体" w:hAnsi="宋体" w:cs="宋体"/>
          <w:bCs/>
          <w:sz w:val="28"/>
          <w:szCs w:val="28"/>
        </w:rPr>
      </w:pPr>
      <w:r>
        <w:rPr>
          <w:rFonts w:hint="eastAsia" w:ascii="宋体" w:hAnsi="宋体" w:cs="宋体"/>
          <w:bCs/>
          <w:sz w:val="28"/>
          <w:szCs w:val="28"/>
        </w:rPr>
        <w:t>内容为两院区的保洁、电梯司乘、勤杂、运送、医疗废物及生活垃圾运送、污洗等后勤保障服务。</w:t>
      </w:r>
    </w:p>
    <w:p w14:paraId="3B1ECA58">
      <w:pPr>
        <w:spacing w:line="500" w:lineRule="exact"/>
        <w:rPr>
          <w:rFonts w:hint="eastAsia" w:ascii="宋体" w:hAnsi="宋体" w:cs="宋体"/>
          <w:b/>
          <w:sz w:val="28"/>
          <w:szCs w:val="28"/>
        </w:rPr>
      </w:pPr>
      <w:r>
        <w:rPr>
          <w:rFonts w:hint="eastAsia" w:ascii="宋体" w:hAnsi="宋体" w:cs="宋体"/>
          <w:b/>
          <w:sz w:val="28"/>
          <w:szCs w:val="28"/>
        </w:rPr>
        <w:t>一、物业管理委托具体内容</w:t>
      </w:r>
    </w:p>
    <w:p w14:paraId="462FB0E4">
      <w:pPr>
        <w:widowControl/>
        <w:spacing w:line="500" w:lineRule="exact"/>
        <w:jc w:val="left"/>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1、项目经理要求：要求具有大专及以上学历、年龄50周岁及以下</w:t>
      </w:r>
      <w:r>
        <w:rPr>
          <w:rFonts w:hint="eastAsia" w:ascii="宋体" w:hAnsi="宋体" w:cs="宋体"/>
          <w:b w:val="0"/>
          <w:bCs w:val="0"/>
          <w:color w:val="auto"/>
          <w:sz w:val="28"/>
          <w:szCs w:val="28"/>
          <w:lang w:eastAsia="zh-CN"/>
        </w:rPr>
        <w:t>，</w:t>
      </w:r>
      <w:r>
        <w:rPr>
          <w:rFonts w:hint="eastAsia" w:ascii="宋体" w:hAnsi="宋体" w:cs="宋体"/>
          <w:b w:val="0"/>
          <w:bCs w:val="0"/>
          <w:color w:val="auto"/>
          <w:sz w:val="28"/>
          <w:szCs w:val="28"/>
        </w:rPr>
        <w:t>并有国内综合性医院的物业项目管理经验</w:t>
      </w:r>
      <w:r>
        <w:rPr>
          <w:rFonts w:hint="eastAsia" w:ascii="宋体" w:hAnsi="宋体" w:cs="宋体"/>
          <w:b w:val="0"/>
          <w:bCs w:val="0"/>
          <w:color w:val="auto"/>
          <w:sz w:val="28"/>
          <w:szCs w:val="28"/>
          <w:lang w:eastAsia="zh-CN"/>
        </w:rPr>
        <w:t>。</w:t>
      </w:r>
    </w:p>
    <w:p w14:paraId="4FDB093F">
      <w:pPr>
        <w:spacing w:line="500" w:lineRule="exact"/>
        <w:rPr>
          <w:rFonts w:hint="eastAsia" w:ascii="宋体" w:hAnsi="宋体" w:eastAsia="宋体" w:cs="宋体"/>
          <w:b/>
          <w:sz w:val="28"/>
          <w:szCs w:val="28"/>
          <w:lang w:eastAsia="zh-CN"/>
        </w:rPr>
      </w:pPr>
      <w:r>
        <w:rPr>
          <w:rFonts w:hint="eastAsia" w:ascii="宋体" w:hAnsi="宋体" w:cs="宋体"/>
          <w:sz w:val="28"/>
          <w:szCs w:val="28"/>
          <w:lang w:val="en-US" w:eastAsia="zh-CN"/>
        </w:rPr>
        <w:t>2、</w:t>
      </w:r>
      <w:r>
        <w:rPr>
          <w:rFonts w:hint="eastAsia" w:ascii="宋体" w:hAnsi="宋体" w:cs="宋体"/>
          <w:sz w:val="28"/>
          <w:szCs w:val="28"/>
        </w:rPr>
        <w:t>管理人员：要求具有高中及以上学历，年龄55周岁及以下，有综合性医院的项目管理经验</w:t>
      </w:r>
      <w:r>
        <w:rPr>
          <w:rFonts w:hint="eastAsia" w:ascii="宋体" w:hAnsi="宋体" w:cs="宋体"/>
          <w:sz w:val="28"/>
          <w:szCs w:val="28"/>
          <w:lang w:val="en-US" w:eastAsia="zh-CN"/>
        </w:rPr>
        <w:t>。</w:t>
      </w:r>
    </w:p>
    <w:p w14:paraId="020D9268">
      <w:pPr>
        <w:spacing w:line="500" w:lineRule="exact"/>
        <w:rPr>
          <w:rFonts w:ascii="宋体" w:hAnsi="宋体" w:cs="宋体"/>
          <w:sz w:val="28"/>
          <w:szCs w:val="28"/>
        </w:rPr>
      </w:pPr>
      <w:r>
        <w:rPr>
          <w:rFonts w:hint="eastAsia" w:ascii="宋体" w:hAnsi="宋体" w:cs="宋体"/>
          <w:sz w:val="28"/>
          <w:szCs w:val="28"/>
          <w:lang w:val="en-US" w:eastAsia="zh-CN"/>
        </w:rPr>
        <w:t>3</w:t>
      </w:r>
      <w:r>
        <w:rPr>
          <w:rFonts w:hint="eastAsia" w:ascii="宋体" w:hAnsi="宋体" w:cs="宋体"/>
          <w:sz w:val="28"/>
          <w:szCs w:val="28"/>
        </w:rPr>
        <w:t>、全院楼顶屋面排水道、地面下水道及各处公共场所和病区大楼内的排水疏通。</w:t>
      </w:r>
    </w:p>
    <w:p w14:paraId="7EC98B0D">
      <w:pPr>
        <w:spacing w:line="500" w:lineRule="exact"/>
        <w:rPr>
          <w:rFonts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、室外环境卫生：</w:t>
      </w:r>
    </w:p>
    <w:p w14:paraId="3FBF05CF">
      <w:pPr>
        <w:spacing w:line="500" w:lineRule="exact"/>
        <w:rPr>
          <w:rFonts w:ascii="宋体" w:hAnsi="宋体" w:cs="宋体"/>
          <w:sz w:val="28"/>
          <w:szCs w:val="28"/>
        </w:rPr>
      </w:pPr>
      <w:r>
        <w:rPr>
          <w:rFonts w:hint="eastAsia" w:ascii="宋体" w:hAnsi="宋体" w:cs="宋体"/>
          <w:sz w:val="28"/>
          <w:szCs w:val="28"/>
        </w:rPr>
        <w:t>包含但不限于门前三包中的“包卫生”、院内广场、绿化带、休闲区、大小道路、开阔地、停车区、各类建筑物天台、地下室、技术层、空关房等部位：</w:t>
      </w:r>
    </w:p>
    <w:p w14:paraId="32C86921">
      <w:pPr>
        <w:spacing w:line="500" w:lineRule="exact"/>
        <w:rPr>
          <w:rFonts w:ascii="宋体" w:hAnsi="宋体" w:cs="宋体"/>
          <w:sz w:val="28"/>
          <w:szCs w:val="28"/>
        </w:rPr>
      </w:pPr>
      <w:r>
        <w:rPr>
          <w:rFonts w:hint="eastAsia" w:ascii="宋体" w:hAnsi="宋体" w:cs="宋体"/>
          <w:sz w:val="28"/>
          <w:szCs w:val="28"/>
          <w:lang w:val="en-US" w:eastAsia="zh-CN"/>
        </w:rPr>
        <w:t>5</w:t>
      </w:r>
      <w:r>
        <w:rPr>
          <w:rFonts w:hint="eastAsia" w:ascii="宋体" w:hAnsi="宋体" w:cs="宋体"/>
          <w:sz w:val="28"/>
          <w:szCs w:val="28"/>
        </w:rPr>
        <w:t>、室内卫生：</w:t>
      </w:r>
    </w:p>
    <w:p w14:paraId="0B2FC267">
      <w:pPr>
        <w:spacing w:line="500" w:lineRule="exact"/>
        <w:rPr>
          <w:rFonts w:ascii="宋体" w:hAnsi="宋体" w:cs="宋体"/>
          <w:sz w:val="28"/>
          <w:szCs w:val="28"/>
        </w:rPr>
      </w:pPr>
      <w:r>
        <w:rPr>
          <w:rFonts w:hint="eastAsia" w:ascii="宋体" w:hAnsi="宋体" w:cs="宋体"/>
          <w:sz w:val="28"/>
          <w:szCs w:val="28"/>
        </w:rPr>
        <w:t>两院区所有建筑物（含地下室、天台、技术层、空关房等）内的卫生保洁，包含但不限于以下内容。</w:t>
      </w:r>
    </w:p>
    <w:p w14:paraId="1C441CE8">
      <w:pPr>
        <w:spacing w:line="500" w:lineRule="exact"/>
        <w:rPr>
          <w:rFonts w:ascii="宋体" w:hAnsi="宋体" w:cs="宋体"/>
          <w:sz w:val="28"/>
          <w:szCs w:val="28"/>
        </w:rPr>
      </w:pPr>
      <w:r>
        <w:rPr>
          <w:rFonts w:hint="eastAsia" w:ascii="宋体" w:hAnsi="宋体" w:cs="宋体"/>
          <w:sz w:val="28"/>
          <w:szCs w:val="28"/>
        </w:rPr>
        <w:t>（1）临床系统：所有走道、楼梯、过道、病室、卫生间、污物暂存井、消毒间、管道井、公共厕所、治疗室、换药室、处置室、医护办公室、护士站、医护值班室、配餐室、库房、冲水间、病员休息室等部位的地面、桌面、墙壁、紫外线灯管、玻璃、吊顶、家具、物品等。</w:t>
      </w:r>
    </w:p>
    <w:p w14:paraId="4F41676E">
      <w:pPr>
        <w:spacing w:line="500" w:lineRule="exact"/>
        <w:rPr>
          <w:rFonts w:ascii="宋体" w:hAnsi="宋体" w:cs="宋体"/>
          <w:sz w:val="28"/>
          <w:szCs w:val="28"/>
        </w:rPr>
      </w:pPr>
      <w:r>
        <w:rPr>
          <w:rFonts w:hint="eastAsia" w:ascii="宋体" w:hAnsi="宋体" w:cs="宋体"/>
          <w:sz w:val="28"/>
          <w:szCs w:val="28"/>
        </w:rPr>
        <w:t>（2）门急诊系统：所有大厅走道、楼梯、走道、公共厕所、诊室、办公室、候诊区、工作间等部位的地面、墙壁、吊顶、桌椅、物品等。</w:t>
      </w:r>
    </w:p>
    <w:p w14:paraId="67E43A05">
      <w:pPr>
        <w:spacing w:line="500" w:lineRule="exact"/>
        <w:rPr>
          <w:rFonts w:ascii="宋体" w:hAnsi="宋体" w:cs="宋体"/>
          <w:sz w:val="28"/>
          <w:szCs w:val="28"/>
        </w:rPr>
      </w:pPr>
      <w:r>
        <w:rPr>
          <w:rFonts w:hint="eastAsia" w:ascii="宋体" w:hAnsi="宋体" w:cs="宋体"/>
          <w:sz w:val="28"/>
          <w:szCs w:val="28"/>
        </w:rPr>
        <w:t>（3）其它：如：放射科、CT等单元的所有走廊、楼梯、过道、厕所、工作间、办公室、候诊区、大厅等部位的地面、桌面、紫外线灯管、玻璃、墙壁、吊顶、桌椅、物品等。</w:t>
      </w:r>
    </w:p>
    <w:p w14:paraId="51905005">
      <w:pPr>
        <w:spacing w:line="500" w:lineRule="exact"/>
        <w:rPr>
          <w:rFonts w:ascii="宋体" w:hAnsi="宋体" w:cs="宋体"/>
          <w:sz w:val="28"/>
          <w:szCs w:val="28"/>
        </w:rPr>
      </w:pPr>
      <w:r>
        <w:rPr>
          <w:rFonts w:hint="eastAsia" w:ascii="宋体" w:hAnsi="宋体" w:cs="宋体"/>
          <w:sz w:val="28"/>
          <w:szCs w:val="28"/>
        </w:rPr>
        <w:t>（4） 上述部位的窗户清洁。</w:t>
      </w:r>
    </w:p>
    <w:p w14:paraId="764D9789">
      <w:pPr>
        <w:spacing w:line="500" w:lineRule="exact"/>
        <w:rPr>
          <w:rFonts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、定时、规范收集医疗废物及生活垃圾到指定的地点。</w:t>
      </w:r>
    </w:p>
    <w:p w14:paraId="06E47D0A">
      <w:pPr>
        <w:spacing w:line="500" w:lineRule="exact"/>
        <w:rPr>
          <w:rFonts w:ascii="宋体" w:hAnsi="宋体" w:cs="宋体"/>
          <w:sz w:val="28"/>
          <w:szCs w:val="28"/>
        </w:rPr>
      </w:pPr>
      <w:r>
        <w:rPr>
          <w:rFonts w:hint="eastAsia" w:ascii="宋体" w:hAnsi="宋体" w:cs="宋体"/>
          <w:sz w:val="28"/>
          <w:szCs w:val="28"/>
        </w:rPr>
        <w:t>(1)及时清理回收、清运、处理医院各科日常医疗废物及生活垃圾，定期清洁处置医疗废物及生活垃圾桶，不影响医院各科正常工作开展。</w:t>
      </w:r>
    </w:p>
    <w:p w14:paraId="54DF301E">
      <w:pPr>
        <w:spacing w:line="500" w:lineRule="exact"/>
        <w:rPr>
          <w:rFonts w:ascii="宋体" w:hAnsi="宋体" w:cs="宋体"/>
          <w:sz w:val="28"/>
          <w:szCs w:val="28"/>
        </w:rPr>
      </w:pPr>
      <w:r>
        <w:rPr>
          <w:rFonts w:hint="eastAsia" w:ascii="宋体" w:hAnsi="宋体" w:cs="宋体"/>
          <w:sz w:val="28"/>
          <w:szCs w:val="28"/>
        </w:rPr>
        <w:t>(2)负责在医院范围外集中存放或及时处理，所有回收废品不得在医院内各层井道、开水房、配电房及其它用房堆放。</w:t>
      </w:r>
    </w:p>
    <w:p w14:paraId="25D4E802">
      <w:pPr>
        <w:spacing w:line="500" w:lineRule="exact"/>
        <w:rPr>
          <w:rFonts w:ascii="宋体" w:hAnsi="宋体" w:cs="宋体"/>
          <w:sz w:val="28"/>
          <w:szCs w:val="28"/>
        </w:rPr>
      </w:pPr>
      <w:r>
        <w:rPr>
          <w:rFonts w:hint="eastAsia" w:ascii="宋体" w:hAnsi="宋体" w:cs="宋体"/>
          <w:sz w:val="28"/>
          <w:szCs w:val="28"/>
        </w:rPr>
        <w:t>(3)严格按医院根据国家规定做好医疗废物收集工作，在院感科指导下规范操作，每日到各科室收集医疗废物到医院指定的暂存处，并做好交接登记工作，个别科室医疗废物量大时及时加转运。</w:t>
      </w:r>
    </w:p>
    <w:p w14:paraId="267899D1">
      <w:pPr>
        <w:spacing w:line="500" w:lineRule="exact"/>
        <w:rPr>
          <w:rFonts w:ascii="宋体" w:hAnsi="宋体" w:cs="宋体"/>
          <w:sz w:val="28"/>
          <w:szCs w:val="28"/>
        </w:rPr>
      </w:pPr>
      <w:r>
        <w:rPr>
          <w:rFonts w:hint="eastAsia" w:ascii="宋体" w:hAnsi="宋体" w:cs="宋体"/>
          <w:sz w:val="28"/>
          <w:szCs w:val="28"/>
        </w:rPr>
        <w:t>(4)黄色医疗垃圾收集专用袋任何人不得移作它用。</w:t>
      </w:r>
    </w:p>
    <w:p w14:paraId="5F323D0D">
      <w:pPr>
        <w:spacing w:line="500" w:lineRule="exact"/>
        <w:rPr>
          <w:rFonts w:ascii="宋体" w:hAnsi="宋体" w:cs="宋体"/>
          <w:sz w:val="28"/>
          <w:szCs w:val="28"/>
        </w:rPr>
      </w:pPr>
      <w:r>
        <w:rPr>
          <w:rFonts w:hint="eastAsia" w:ascii="宋体" w:hAnsi="宋体" w:cs="宋体"/>
          <w:sz w:val="28"/>
          <w:szCs w:val="28"/>
        </w:rPr>
        <w:t>(5)医疗、生活垃圾做到分类存放、存放点整齐，清洁。</w:t>
      </w:r>
    </w:p>
    <w:p w14:paraId="0A337B5E">
      <w:pPr>
        <w:spacing w:line="500" w:lineRule="exact"/>
        <w:rPr>
          <w:rFonts w:ascii="宋体" w:hAnsi="宋体" w:cs="宋体"/>
          <w:sz w:val="28"/>
          <w:szCs w:val="28"/>
        </w:rPr>
      </w:pPr>
      <w:r>
        <w:rPr>
          <w:rFonts w:hint="eastAsia" w:ascii="宋体" w:hAnsi="宋体" w:cs="宋体"/>
          <w:sz w:val="28"/>
          <w:szCs w:val="28"/>
        </w:rPr>
        <w:t>(6)任何人不得将医疗废物进行买卖，无污染的输液袋、输液瓶、一次性奶瓶不得等同于普通生活垃圾处置，由医院指定有资质的单位回收。</w:t>
      </w:r>
    </w:p>
    <w:p w14:paraId="08EFFFFD">
      <w:pPr>
        <w:spacing w:line="500" w:lineRule="exact"/>
        <w:rPr>
          <w:rFonts w:ascii="宋体" w:hAnsi="宋体" w:cs="宋体"/>
          <w:sz w:val="28"/>
          <w:szCs w:val="28"/>
        </w:rPr>
      </w:pPr>
      <w:r>
        <w:rPr>
          <w:rFonts w:hint="eastAsia" w:ascii="宋体" w:hAnsi="宋体" w:cs="宋体"/>
          <w:sz w:val="28"/>
          <w:szCs w:val="28"/>
          <w:lang w:val="en-US" w:eastAsia="zh-CN"/>
        </w:rPr>
        <w:t>7</w:t>
      </w:r>
      <w:r>
        <w:rPr>
          <w:rFonts w:hint="eastAsia" w:ascii="宋体" w:hAnsi="宋体" w:cs="宋体"/>
          <w:sz w:val="28"/>
          <w:szCs w:val="28"/>
        </w:rPr>
        <w:t>、电梯操作工要求：</w:t>
      </w:r>
    </w:p>
    <w:p w14:paraId="70DF5A7C">
      <w:pPr>
        <w:spacing w:line="500" w:lineRule="exact"/>
        <w:rPr>
          <w:rFonts w:ascii="宋体" w:hAnsi="宋体" w:cs="宋体"/>
          <w:sz w:val="28"/>
          <w:szCs w:val="28"/>
        </w:rPr>
      </w:pPr>
      <w:r>
        <w:rPr>
          <w:rFonts w:hint="eastAsia" w:ascii="宋体" w:hAnsi="宋体" w:cs="宋体"/>
          <w:sz w:val="28"/>
          <w:szCs w:val="28"/>
        </w:rPr>
        <w:t>(1)电梯操作人员初中及以上文化，身体健康，无明显的外观缺陷，能熟练使用普通话表达沟通。</w:t>
      </w:r>
    </w:p>
    <w:p w14:paraId="556F945F">
      <w:pPr>
        <w:spacing w:line="500" w:lineRule="exact"/>
        <w:rPr>
          <w:rFonts w:ascii="宋体" w:hAnsi="宋体" w:cs="宋体"/>
          <w:sz w:val="28"/>
          <w:szCs w:val="28"/>
        </w:rPr>
      </w:pPr>
      <w:r>
        <w:rPr>
          <w:rFonts w:hint="eastAsia" w:ascii="宋体" w:hAnsi="宋体" w:cs="宋体"/>
          <w:sz w:val="28"/>
          <w:szCs w:val="28"/>
        </w:rPr>
        <w:t>(2)上岗时统一着装，穿戴整洁，站立服务，礼貌用语，使用普通话与乘客交流，对行动不便者提供帮助，到站时，适时提示。</w:t>
      </w:r>
    </w:p>
    <w:p w14:paraId="473F16E9">
      <w:pPr>
        <w:spacing w:line="500" w:lineRule="exact"/>
        <w:rPr>
          <w:rFonts w:ascii="宋体" w:hAnsi="宋体" w:cs="宋体"/>
          <w:sz w:val="28"/>
          <w:szCs w:val="28"/>
        </w:rPr>
      </w:pPr>
      <w:r>
        <w:rPr>
          <w:rFonts w:hint="eastAsia" w:ascii="宋体" w:hAnsi="宋体" w:cs="宋体"/>
          <w:sz w:val="28"/>
          <w:szCs w:val="28"/>
        </w:rPr>
        <w:t>(3)严格执行医院规定，准时开梯，按时关梯，不随意增开或减开电梯。</w:t>
      </w:r>
    </w:p>
    <w:p w14:paraId="0DB2CDFF">
      <w:pPr>
        <w:spacing w:line="500" w:lineRule="exact"/>
        <w:rPr>
          <w:rFonts w:ascii="宋体" w:hAnsi="宋体" w:cs="宋体"/>
          <w:sz w:val="28"/>
          <w:szCs w:val="28"/>
        </w:rPr>
      </w:pPr>
      <w:r>
        <w:rPr>
          <w:rFonts w:hint="eastAsia" w:ascii="宋体" w:hAnsi="宋体" w:cs="宋体"/>
          <w:sz w:val="28"/>
          <w:szCs w:val="28"/>
        </w:rPr>
        <w:t>(4)严格执行特种设备使用管理规定，负责电梯的安全巡检，每小时对医院所有电梯的运行情况进行检查一次。做好开梯前安全检查，电梯故障时及时平台报修，确保使用中的电梯安全。保持轿厢内外的清洁，保持厅门、轿门地面清洁。</w:t>
      </w:r>
    </w:p>
    <w:p w14:paraId="64CB6A7F">
      <w:pPr>
        <w:spacing w:line="500" w:lineRule="exact"/>
        <w:rPr>
          <w:rFonts w:ascii="宋体" w:hAnsi="宋体" w:cs="宋体"/>
          <w:sz w:val="28"/>
          <w:szCs w:val="28"/>
        </w:rPr>
      </w:pPr>
      <w:r>
        <w:rPr>
          <w:rFonts w:hint="eastAsia" w:ascii="宋体" w:hAnsi="宋体" w:cs="宋体"/>
          <w:sz w:val="28"/>
          <w:szCs w:val="28"/>
        </w:rPr>
        <w:t>(5)根据医院规定使用时间、医院工作需要进行电梯用工安排。必要时有专人操作电梯，不随意撤人改作自动运行：操作人员不串岗，混岗，闲聊。如需离开，须安排其他人员顶岗。</w:t>
      </w:r>
    </w:p>
    <w:p w14:paraId="19C5BDB1">
      <w:pPr>
        <w:spacing w:line="500" w:lineRule="exact"/>
        <w:rPr>
          <w:rFonts w:ascii="宋体" w:hAnsi="宋体" w:cs="宋体"/>
          <w:sz w:val="28"/>
          <w:szCs w:val="28"/>
        </w:rPr>
      </w:pPr>
      <w:r>
        <w:rPr>
          <w:rFonts w:hint="eastAsia" w:ascii="宋体" w:hAnsi="宋体" w:cs="宋体"/>
          <w:sz w:val="28"/>
          <w:szCs w:val="28"/>
          <w:lang w:val="en-US" w:eastAsia="zh-CN"/>
        </w:rPr>
        <w:t>8</w:t>
      </w:r>
      <w:r>
        <w:rPr>
          <w:rFonts w:hint="eastAsia" w:ascii="宋体" w:hAnsi="宋体" w:cs="宋体"/>
          <w:sz w:val="28"/>
          <w:szCs w:val="28"/>
        </w:rPr>
        <w:t>、手术室的服务：</w:t>
      </w:r>
    </w:p>
    <w:p w14:paraId="75734C57">
      <w:pPr>
        <w:spacing w:line="500" w:lineRule="exact"/>
        <w:rPr>
          <w:rFonts w:ascii="宋体" w:hAnsi="宋体" w:cs="宋体"/>
          <w:sz w:val="28"/>
          <w:szCs w:val="28"/>
        </w:rPr>
      </w:pPr>
      <w:r>
        <w:rPr>
          <w:rFonts w:hint="eastAsia" w:ascii="宋体" w:hAnsi="宋体" w:cs="宋体"/>
          <w:sz w:val="28"/>
          <w:szCs w:val="28"/>
        </w:rPr>
        <w:t>(1)常规收送病理标本；</w:t>
      </w:r>
    </w:p>
    <w:p w14:paraId="19959BD1">
      <w:pPr>
        <w:spacing w:line="500" w:lineRule="exact"/>
        <w:rPr>
          <w:rFonts w:ascii="宋体" w:hAnsi="宋体" w:cs="宋体"/>
          <w:sz w:val="28"/>
          <w:szCs w:val="28"/>
        </w:rPr>
      </w:pPr>
      <w:r>
        <w:rPr>
          <w:rFonts w:hint="eastAsia" w:ascii="宋体" w:hAnsi="宋体" w:cs="宋体"/>
          <w:sz w:val="28"/>
          <w:szCs w:val="28"/>
        </w:rPr>
        <w:t>(2)到供应室取送消毒包；</w:t>
      </w:r>
    </w:p>
    <w:p w14:paraId="4576823E">
      <w:pPr>
        <w:spacing w:line="500" w:lineRule="exact"/>
        <w:rPr>
          <w:rFonts w:ascii="宋体" w:hAnsi="宋体" w:cs="宋体"/>
          <w:sz w:val="28"/>
          <w:szCs w:val="28"/>
        </w:rPr>
      </w:pPr>
      <w:r>
        <w:rPr>
          <w:rFonts w:hint="eastAsia" w:ascii="宋体" w:hAnsi="宋体" w:cs="宋体"/>
          <w:sz w:val="28"/>
          <w:szCs w:val="28"/>
        </w:rPr>
        <w:t>(3)手术中领取血液制品；</w:t>
      </w:r>
    </w:p>
    <w:p w14:paraId="479FD4E1">
      <w:pPr>
        <w:spacing w:line="500" w:lineRule="exact"/>
        <w:rPr>
          <w:rFonts w:ascii="宋体" w:hAnsi="宋体" w:cs="宋体"/>
          <w:sz w:val="28"/>
          <w:szCs w:val="28"/>
        </w:rPr>
      </w:pPr>
      <w:r>
        <w:rPr>
          <w:rFonts w:hint="eastAsia" w:ascii="宋体" w:hAnsi="宋体" w:cs="宋体"/>
          <w:sz w:val="28"/>
          <w:szCs w:val="28"/>
        </w:rPr>
        <w:t>(4)接手术病人至手术室；</w:t>
      </w:r>
    </w:p>
    <w:p w14:paraId="6E3217C7">
      <w:pPr>
        <w:spacing w:line="500" w:lineRule="exact"/>
        <w:rPr>
          <w:rFonts w:ascii="宋体" w:hAnsi="宋体" w:cs="宋体"/>
          <w:sz w:val="28"/>
          <w:szCs w:val="28"/>
        </w:rPr>
      </w:pPr>
      <w:r>
        <w:rPr>
          <w:rFonts w:hint="eastAsia" w:ascii="宋体" w:hAnsi="宋体" w:cs="宋体"/>
          <w:sz w:val="28"/>
          <w:szCs w:val="28"/>
        </w:rPr>
        <w:t>(5)送术后病人至病房；</w:t>
      </w:r>
    </w:p>
    <w:p w14:paraId="680BDA48">
      <w:pPr>
        <w:spacing w:line="500" w:lineRule="exact"/>
        <w:rPr>
          <w:rFonts w:ascii="宋体" w:hAnsi="宋体" w:cs="宋体"/>
          <w:sz w:val="28"/>
          <w:szCs w:val="28"/>
        </w:rPr>
      </w:pPr>
      <w:r>
        <w:rPr>
          <w:rFonts w:hint="eastAsia" w:ascii="宋体" w:hAnsi="宋体" w:cs="宋体"/>
          <w:sz w:val="28"/>
          <w:szCs w:val="28"/>
        </w:rPr>
        <w:t>(6)棉纺品被服更换、工作衣的更换：</w:t>
      </w:r>
    </w:p>
    <w:p w14:paraId="77963A86">
      <w:pPr>
        <w:spacing w:line="500" w:lineRule="exact"/>
        <w:rPr>
          <w:rFonts w:ascii="宋体" w:hAnsi="宋体" w:cs="宋体"/>
          <w:sz w:val="28"/>
          <w:szCs w:val="28"/>
        </w:rPr>
      </w:pPr>
      <w:r>
        <w:rPr>
          <w:rFonts w:hint="eastAsia" w:ascii="宋体" w:hAnsi="宋体" w:cs="宋体"/>
          <w:sz w:val="28"/>
          <w:szCs w:val="28"/>
        </w:rPr>
        <w:t>(7)手术室范围内的日常保洁工作；</w:t>
      </w:r>
    </w:p>
    <w:p w14:paraId="045DB8AE">
      <w:pPr>
        <w:spacing w:line="500" w:lineRule="exact"/>
        <w:rPr>
          <w:rFonts w:ascii="宋体" w:hAnsi="宋体" w:cs="宋体"/>
          <w:sz w:val="28"/>
          <w:szCs w:val="28"/>
        </w:rPr>
      </w:pPr>
      <w:r>
        <w:rPr>
          <w:rFonts w:hint="eastAsia" w:ascii="宋体" w:hAnsi="宋体" w:cs="宋体"/>
          <w:sz w:val="28"/>
          <w:szCs w:val="28"/>
        </w:rPr>
        <w:t>(8)其他手术室指定服务工作；</w:t>
      </w:r>
    </w:p>
    <w:p w14:paraId="7736BA35">
      <w:pPr>
        <w:spacing w:line="500" w:lineRule="exact"/>
        <w:rPr>
          <w:rFonts w:ascii="宋体" w:hAnsi="宋体" w:cs="宋体"/>
          <w:sz w:val="28"/>
          <w:szCs w:val="28"/>
        </w:rPr>
      </w:pPr>
      <w:r>
        <w:rPr>
          <w:rFonts w:hint="eastAsia" w:ascii="宋体" w:hAnsi="宋体" w:cs="宋体"/>
          <w:sz w:val="28"/>
          <w:szCs w:val="28"/>
        </w:rPr>
        <w:t>(9)医疗废物和生活垃圾的规范化处置工作；</w:t>
      </w:r>
    </w:p>
    <w:p w14:paraId="017C77C0">
      <w:pPr>
        <w:spacing w:line="500" w:lineRule="exact"/>
        <w:rPr>
          <w:rFonts w:ascii="宋体" w:hAnsi="宋体" w:cs="宋体"/>
          <w:sz w:val="28"/>
          <w:szCs w:val="28"/>
        </w:rPr>
      </w:pPr>
      <w:r>
        <w:rPr>
          <w:rFonts w:hint="eastAsia" w:ascii="宋体" w:hAnsi="宋体" w:cs="宋体"/>
          <w:sz w:val="28"/>
          <w:szCs w:val="28"/>
        </w:rPr>
        <w:t>(10)与洗涤公司清点交接手术室布类物品。</w:t>
      </w:r>
    </w:p>
    <w:p w14:paraId="288C89D9">
      <w:pPr>
        <w:spacing w:line="500" w:lineRule="exact"/>
        <w:rPr>
          <w:rFonts w:ascii="宋体" w:hAnsi="宋体" w:cs="宋体"/>
          <w:b/>
          <w:bCs/>
          <w:sz w:val="28"/>
          <w:szCs w:val="28"/>
        </w:rPr>
      </w:pPr>
      <w:r>
        <w:rPr>
          <w:rFonts w:hint="eastAsia" w:ascii="宋体" w:hAnsi="宋体" w:cs="宋体"/>
          <w:b/>
          <w:bCs/>
          <w:sz w:val="28"/>
          <w:szCs w:val="28"/>
          <w:lang w:val="en-US" w:eastAsia="zh-CN"/>
        </w:rPr>
        <w:t>9</w:t>
      </w:r>
      <w:r>
        <w:rPr>
          <w:rFonts w:hint="eastAsia" w:ascii="宋体" w:hAnsi="宋体" w:cs="宋体"/>
          <w:b/>
          <w:bCs/>
          <w:sz w:val="28"/>
          <w:szCs w:val="28"/>
        </w:rPr>
        <w:t>、完成供应室、ICU等监护室、感染科病区、产房、新生儿监护室等及其他特殊单元指定的工作任务，完成血液透析室更换床单元工作。</w:t>
      </w:r>
    </w:p>
    <w:p w14:paraId="1A0386A8">
      <w:pPr>
        <w:spacing w:line="500" w:lineRule="exact"/>
        <w:rPr>
          <w:rFonts w:ascii="宋体" w:hAnsi="宋体" w:cs="宋体"/>
          <w:sz w:val="28"/>
          <w:szCs w:val="28"/>
        </w:rPr>
      </w:pPr>
      <w:r>
        <w:rPr>
          <w:rFonts w:hint="eastAsia" w:ascii="宋体" w:hAnsi="宋体" w:cs="宋体"/>
          <w:sz w:val="28"/>
          <w:szCs w:val="28"/>
          <w:lang w:val="en-US" w:eastAsia="zh-CN"/>
        </w:rPr>
        <w:t>10</w:t>
      </w:r>
      <w:r>
        <w:rPr>
          <w:rFonts w:hint="eastAsia" w:ascii="宋体" w:hAnsi="宋体" w:cs="宋体"/>
          <w:sz w:val="28"/>
          <w:szCs w:val="28"/>
        </w:rPr>
        <w:t>、及时领发配送各科工作所需物品、按院方需要护送病人检查、取送各种标本，协助无家属陪护重症病人陪同检查。</w:t>
      </w:r>
    </w:p>
    <w:p w14:paraId="5B654BEA">
      <w:pPr>
        <w:spacing w:line="500" w:lineRule="exact"/>
        <w:rPr>
          <w:rFonts w:ascii="宋体" w:hAnsi="宋体" w:cs="宋体"/>
          <w:sz w:val="28"/>
          <w:szCs w:val="28"/>
        </w:rPr>
      </w:pPr>
      <w:r>
        <w:rPr>
          <w:rFonts w:hint="eastAsia" w:ascii="宋体" w:hAnsi="宋体" w:cs="宋体"/>
          <w:sz w:val="28"/>
          <w:szCs w:val="28"/>
          <w:lang w:val="en-US" w:eastAsia="zh-CN"/>
        </w:rPr>
        <w:t>11</w:t>
      </w:r>
      <w:r>
        <w:rPr>
          <w:rFonts w:hint="eastAsia" w:ascii="宋体" w:hAnsi="宋体" w:cs="宋体"/>
          <w:sz w:val="28"/>
          <w:szCs w:val="28"/>
        </w:rPr>
        <w:t>、负责和加强开水器、微波炉的安全使用和清洁卫生管理。</w:t>
      </w:r>
    </w:p>
    <w:p w14:paraId="00A22DD2">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、加强各病区、医技科室的节能和用水管理，走廊照明的开启控制，节约公用场所用水用电，空调开放期间及时关闭门窗，保证无“长明灯、长流水、空调期开门窗”现象。</w:t>
      </w:r>
    </w:p>
    <w:p w14:paraId="7D65DA40">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3</w:t>
      </w:r>
      <w:r>
        <w:rPr>
          <w:rFonts w:hint="eastAsia" w:ascii="宋体" w:hAnsi="宋体" w:cs="宋体"/>
          <w:sz w:val="28"/>
          <w:szCs w:val="28"/>
        </w:rPr>
        <w:t>、所有中央空调末端风口的清洁保养（按医院的要求和规定办理）。</w:t>
      </w:r>
    </w:p>
    <w:p w14:paraId="3388082E">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4</w:t>
      </w:r>
      <w:r>
        <w:rPr>
          <w:rFonts w:hint="eastAsia" w:ascii="宋体" w:hAnsi="宋体" w:cs="宋体"/>
          <w:sz w:val="28"/>
          <w:szCs w:val="28"/>
        </w:rPr>
        <w:t>、院内所有PVC地板进行打蜡维护，每年保养2次，费用由中标方自行承担。院区所有保洁工具、耗材、设备及所有各类生活及医疗垃圾袋由中标方承担。</w:t>
      </w:r>
    </w:p>
    <w:p w14:paraId="5BC6B8EF">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5</w:t>
      </w:r>
      <w:r>
        <w:rPr>
          <w:rFonts w:hint="eastAsia" w:ascii="宋体" w:hAnsi="宋体" w:cs="宋体"/>
          <w:sz w:val="28"/>
          <w:szCs w:val="28"/>
        </w:rPr>
        <w:t>、其他勤杂工作：如清点被服、发放病员服、发放陪客椅、管理电视遥控器、平车、轮椅等等。</w:t>
      </w:r>
    </w:p>
    <w:p w14:paraId="06E97E41">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6</w:t>
      </w:r>
      <w:r>
        <w:rPr>
          <w:rFonts w:hint="eastAsia" w:ascii="宋体" w:hAnsi="宋体" w:cs="宋体"/>
          <w:sz w:val="28"/>
          <w:szCs w:val="28"/>
        </w:rPr>
        <w:t>、保持医院行政办公区、洗手间卫生干净，按院办及职能科室要求做好日常会议前的卫生、桌椅摆布、开水准备等及会后清洁工作。科室报废物品运送、搬运桌椅等免费搬运。</w:t>
      </w:r>
    </w:p>
    <w:p w14:paraId="2A7A4427">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7</w:t>
      </w:r>
      <w:r>
        <w:rPr>
          <w:rFonts w:hint="eastAsia" w:ascii="宋体" w:hAnsi="宋体" w:cs="宋体"/>
          <w:sz w:val="28"/>
          <w:szCs w:val="28"/>
        </w:rPr>
        <w:t>、成立洗消中心，按院感防控要求，提供标准化保洁服务：抹布分区分色，使用拆卸式拖把，每天统一回收、集中清洁消毒、发放并详细记录各科室交接数量。发放数量应满足规范化处理流程，特别提醒病房内应满足一床一巾，一卫一巾，一公共区域一巾，病人出院后的终未处理等基数要求。</w:t>
      </w:r>
    </w:p>
    <w:p w14:paraId="7C054E26">
      <w:pPr>
        <w:spacing w:line="500" w:lineRule="exact"/>
        <w:rPr>
          <w:rFonts w:ascii="宋体" w:hAnsi="宋体" w:cs="宋体"/>
          <w:sz w:val="28"/>
          <w:szCs w:val="28"/>
        </w:rPr>
      </w:pPr>
      <w:r>
        <w:rPr>
          <w:rFonts w:hint="eastAsia" w:ascii="宋体" w:hAnsi="宋体" w:cs="宋体"/>
          <w:sz w:val="28"/>
          <w:szCs w:val="28"/>
          <w:lang w:val="en-US" w:eastAsia="zh-CN"/>
        </w:rPr>
        <w:t>18</w:t>
      </w:r>
      <w:r>
        <w:rPr>
          <w:rFonts w:hint="eastAsia" w:ascii="宋体" w:hAnsi="宋体" w:cs="宋体"/>
          <w:sz w:val="28"/>
          <w:szCs w:val="28"/>
        </w:rPr>
        <w:t>、配合完成医院的各项中心工作和活动。</w:t>
      </w:r>
    </w:p>
    <w:p w14:paraId="79D36014">
      <w:pPr>
        <w:spacing w:line="500" w:lineRule="exact"/>
        <w:rPr>
          <w:rFonts w:ascii="宋体" w:hAnsi="宋体" w:cs="宋体"/>
          <w:sz w:val="28"/>
          <w:szCs w:val="28"/>
        </w:rPr>
      </w:pPr>
      <w:r>
        <w:rPr>
          <w:rFonts w:hint="eastAsia" w:ascii="宋体" w:hAnsi="宋体" w:cs="宋体"/>
          <w:sz w:val="28"/>
          <w:szCs w:val="28"/>
          <w:lang w:val="en-US" w:eastAsia="zh-CN"/>
        </w:rPr>
        <w:t>19</w:t>
      </w:r>
      <w:r>
        <w:rPr>
          <w:rFonts w:hint="eastAsia" w:ascii="宋体" w:hAnsi="宋体" w:cs="宋体"/>
          <w:sz w:val="28"/>
          <w:szCs w:val="28"/>
        </w:rPr>
        <w:t>、保洁工作人员必须统一着装，仪表整洁。根据物业管理规范、医院环境管理规范、爱国卫生运动和文明城市创建的要求需要做好的其他工作。</w:t>
      </w:r>
    </w:p>
    <w:p w14:paraId="7667050B">
      <w:pPr>
        <w:spacing w:line="500" w:lineRule="exact"/>
        <w:rPr>
          <w:rFonts w:ascii="宋体" w:hAnsi="宋体" w:cs="宋体"/>
          <w:sz w:val="28"/>
          <w:szCs w:val="28"/>
        </w:rPr>
      </w:pPr>
      <w:r>
        <w:rPr>
          <w:rFonts w:hint="eastAsia" w:ascii="宋体" w:hAnsi="宋体" w:cs="宋体"/>
          <w:sz w:val="28"/>
          <w:szCs w:val="28"/>
          <w:lang w:val="en-US" w:eastAsia="zh-CN"/>
        </w:rPr>
        <w:t>20</w:t>
      </w:r>
      <w:r>
        <w:rPr>
          <w:rFonts w:hint="eastAsia" w:ascii="宋体" w:hAnsi="宋体" w:cs="宋体"/>
          <w:sz w:val="28"/>
          <w:szCs w:val="28"/>
        </w:rPr>
        <w:t>、物业管理范围内的安全管理工作。</w:t>
      </w:r>
    </w:p>
    <w:p w14:paraId="1341CBAE">
      <w:pPr>
        <w:spacing w:line="500" w:lineRule="exact"/>
        <w:rPr>
          <w:rFonts w:ascii="宋体" w:hAnsi="宋体" w:cs="宋体"/>
          <w:sz w:val="28"/>
          <w:szCs w:val="28"/>
        </w:rPr>
      </w:pPr>
      <w:r>
        <w:rPr>
          <w:rFonts w:hint="eastAsia" w:ascii="宋体" w:hAnsi="宋体" w:cs="宋体"/>
          <w:b/>
          <w:bCs/>
          <w:sz w:val="28"/>
          <w:szCs w:val="28"/>
        </w:rPr>
        <w:t>2</w:t>
      </w:r>
      <w:r>
        <w:rPr>
          <w:rFonts w:hint="eastAsia" w:ascii="宋体" w:hAnsi="宋体" w:cs="宋体"/>
          <w:b/>
          <w:bCs/>
          <w:sz w:val="28"/>
          <w:szCs w:val="28"/>
          <w:lang w:val="en-US" w:eastAsia="zh-CN"/>
        </w:rPr>
        <w:t>1</w:t>
      </w:r>
      <w:r>
        <w:rPr>
          <w:rFonts w:hint="eastAsia" w:ascii="宋体" w:hAnsi="宋体" w:cs="宋体"/>
          <w:b/>
          <w:bCs/>
          <w:sz w:val="28"/>
          <w:szCs w:val="28"/>
        </w:rPr>
        <w:t>、</w:t>
      </w:r>
      <w:r>
        <w:rPr>
          <w:rFonts w:hint="eastAsia" w:ascii="宋体" w:hAnsi="宋体" w:cs="宋体"/>
          <w:sz w:val="28"/>
          <w:szCs w:val="28"/>
        </w:rPr>
        <w:t>如有人员增减，按投标时的相关人员单价费用增减人员总费用。</w:t>
      </w:r>
    </w:p>
    <w:p w14:paraId="7D8B21B1">
      <w:pPr>
        <w:spacing w:line="500" w:lineRule="exact"/>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2</w:t>
      </w:r>
      <w:r>
        <w:rPr>
          <w:rFonts w:hint="eastAsia" w:ascii="宋体" w:hAnsi="宋体" w:cs="宋体"/>
          <w:sz w:val="28"/>
          <w:szCs w:val="28"/>
        </w:rPr>
        <w:t>、中标单位需无条件服从医院的调整及相关要求，并根据医院实际工作需要作出物业人数调整。</w:t>
      </w:r>
    </w:p>
    <w:p w14:paraId="37145337">
      <w:pPr>
        <w:spacing w:line="500" w:lineRule="exact"/>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3</w:t>
      </w:r>
      <w:r>
        <w:rPr>
          <w:rFonts w:hint="eastAsia" w:ascii="宋体" w:hAnsi="宋体" w:cs="宋体"/>
          <w:sz w:val="28"/>
          <w:szCs w:val="28"/>
        </w:rPr>
        <w:t>、在运行过程中，医院可根据实际工作量、实际服务科室、服务区域的情况要求物业服务单位对物业人员数量进行调整，物业服务单位要无条件响应。</w:t>
      </w:r>
    </w:p>
    <w:p w14:paraId="61378781">
      <w:pPr>
        <w:spacing w:line="500" w:lineRule="exact"/>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、投标单位在中标后3~6个月内将人员调整到位，保证现有物业工人队伍的稳定。由于人员调整所导致的一切问题、矛盾及责任由中标单位负责处理，相关职能科室、各使用科室做好协调配合。</w:t>
      </w:r>
    </w:p>
    <w:p w14:paraId="33051DDB">
      <w:pPr>
        <w:widowControl/>
        <w:spacing w:line="500" w:lineRule="exact"/>
        <w:jc w:val="left"/>
        <w:rPr>
          <w:rFonts w:ascii="宋体" w:hAnsi="宋体" w:cs="宋体"/>
          <w:b/>
          <w:sz w:val="28"/>
          <w:szCs w:val="28"/>
        </w:rPr>
      </w:pPr>
      <w:r>
        <w:rPr>
          <w:rFonts w:hint="eastAsia" w:ascii="宋体" w:hAnsi="宋体" w:cs="宋体"/>
          <w:b/>
          <w:sz w:val="28"/>
          <w:szCs w:val="28"/>
        </w:rPr>
        <w:t>二、人员及服务要求</w:t>
      </w:r>
    </w:p>
    <w:p w14:paraId="2E9FBF5C">
      <w:pPr>
        <w:widowControl/>
        <w:spacing w:line="500" w:lineRule="exact"/>
        <w:jc w:val="left"/>
        <w:rPr>
          <w:rFonts w:ascii="宋体" w:hAnsi="宋体" w:cs="宋体"/>
          <w:b/>
          <w:sz w:val="28"/>
          <w:szCs w:val="28"/>
        </w:rPr>
      </w:pPr>
      <w:r>
        <w:rPr>
          <w:rFonts w:hint="eastAsia" w:ascii="宋体" w:hAnsi="宋体" w:cs="宋体"/>
          <w:b/>
          <w:sz w:val="28"/>
          <w:szCs w:val="28"/>
        </w:rPr>
        <w:t>（一）人员要求</w:t>
      </w:r>
    </w:p>
    <w:p w14:paraId="3547FBE9">
      <w:pPr>
        <w:widowControl/>
        <w:spacing w:line="500" w:lineRule="exact"/>
        <w:jc w:val="left"/>
        <w:rPr>
          <w:rFonts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掌握医院管理的重点和难点，沟通和协调能力强，能积极配合医院各项工作；拟驻场的项目经理一经确定，除甲方主动要求更换外，本项目期内不得调整和兼顾其他项目，否则甲方有权终止合同（标书内须提供承诺），如甲方要求更换的项目经理不得低于招标文件对于项目经理的相关要求和投标文件关于项目经理的相关内容。项目经理调整时工作须在采购人代表在场时当面交接。</w:t>
      </w:r>
    </w:p>
    <w:p w14:paraId="397C4A0B">
      <w:pPr>
        <w:widowControl/>
        <w:spacing w:line="500" w:lineRule="exact"/>
        <w:jc w:val="left"/>
        <w:rPr>
          <w:rFonts w:ascii="宋体" w:hAnsi="宋体" w:cs="宋体"/>
          <w:sz w:val="28"/>
          <w:szCs w:val="28"/>
        </w:rPr>
      </w:pPr>
      <w:r>
        <w:rPr>
          <w:rFonts w:hint="eastAsia" w:ascii="宋体" w:hAnsi="宋体" w:cs="宋体"/>
          <w:sz w:val="28"/>
          <w:szCs w:val="28"/>
        </w:rPr>
        <w:t>2、</w:t>
      </w:r>
      <w:r>
        <w:rPr>
          <w:rFonts w:hint="eastAsia" w:ascii="宋体" w:hAnsi="宋体" w:cs="宋体"/>
          <w:sz w:val="28"/>
          <w:szCs w:val="28"/>
          <w:lang w:eastAsia="zh-CN"/>
        </w:rPr>
        <w:t>管理人员</w:t>
      </w:r>
      <w:r>
        <w:rPr>
          <w:rFonts w:hint="eastAsia" w:ascii="宋体" w:hAnsi="宋体" w:cs="宋体"/>
          <w:sz w:val="28"/>
          <w:szCs w:val="28"/>
        </w:rPr>
        <w:t>具有一定管理沟通协调能力，能够协助项目经理做好项目的日常管理、检查工作，熟悉医院的保洁、运送服务等工作，沟通和协调能力强，能积极配合医院各项工作。</w:t>
      </w:r>
    </w:p>
    <w:p w14:paraId="14C7F3F9">
      <w:pPr>
        <w:widowControl/>
        <w:spacing w:line="500" w:lineRule="exact"/>
        <w:jc w:val="left"/>
        <w:rPr>
          <w:rFonts w:ascii="宋体" w:hAnsi="宋体" w:cs="宋体"/>
          <w:sz w:val="28"/>
          <w:szCs w:val="28"/>
        </w:rPr>
      </w:pPr>
      <w:r>
        <w:rPr>
          <w:rFonts w:hint="eastAsia" w:ascii="宋体" w:hAnsi="宋体" w:cs="宋体"/>
          <w:sz w:val="28"/>
          <w:szCs w:val="28"/>
        </w:rPr>
        <w:t>3、服务人员年龄要求：</w:t>
      </w:r>
      <w:r>
        <w:rPr>
          <w:rFonts w:hint="eastAsia" w:ascii="宋体" w:hAnsi="宋体" w:cs="宋体"/>
          <w:sz w:val="24"/>
          <w:szCs w:val="24"/>
        </w:rPr>
        <w:t>所有一线员工包括保洁、运送、男性60周岁以下，女性58周岁以下，运送员具有初中以上文化；电梯工，男性夜班60周岁以下，女性50周岁以下，初中（含初中）以上文化，形象佳；</w:t>
      </w:r>
      <w:r>
        <w:rPr>
          <w:rFonts w:hint="eastAsia" w:ascii="宋体" w:hAnsi="宋体" w:cs="宋体"/>
          <w:color w:val="auto"/>
          <w:sz w:val="28"/>
          <w:szCs w:val="28"/>
        </w:rPr>
        <w:t>。</w:t>
      </w:r>
      <w:r>
        <w:rPr>
          <w:rFonts w:hint="eastAsia" w:ascii="宋体" w:hAnsi="宋体" w:cs="宋体"/>
          <w:sz w:val="28"/>
          <w:szCs w:val="28"/>
        </w:rPr>
        <w:t>以上所有人员必须经培训合格上岗，五官端正，身体健康（提供三级医院健康体检证明备查），无任何传染性或其他重大疾病。护工除满足以上条件，需取得国家或省级认可的资质，按相关规范要求保质保量完成科室服务工作。</w:t>
      </w:r>
    </w:p>
    <w:p w14:paraId="5FD4C177">
      <w:pPr>
        <w:widowControl/>
        <w:spacing w:line="500" w:lineRule="exact"/>
        <w:jc w:val="left"/>
        <w:rPr>
          <w:rFonts w:ascii="宋体" w:hAnsi="宋体" w:cs="宋体"/>
          <w:sz w:val="28"/>
          <w:szCs w:val="28"/>
        </w:rPr>
      </w:pPr>
      <w:r>
        <w:rPr>
          <w:rFonts w:hint="eastAsia" w:ascii="宋体" w:hAnsi="宋体" w:cs="宋体"/>
          <w:sz w:val="28"/>
          <w:szCs w:val="28"/>
        </w:rPr>
        <w:t>4、采购人将对项目经理、主要管理、及特殊岗位的人员综合表现情况进行考核（含试用期）。如在培训、岗位操作过程中发现其不能胜任的，采购人有权要求更换，直至满足采购人要求为止，且更换人员应不低于采购文件的要求。</w:t>
      </w:r>
    </w:p>
    <w:p w14:paraId="15FBE696">
      <w:pPr>
        <w:widowControl/>
        <w:spacing w:line="500" w:lineRule="exact"/>
        <w:jc w:val="left"/>
        <w:rPr>
          <w:rFonts w:ascii="宋体" w:hAnsi="宋体" w:cs="宋体"/>
          <w:sz w:val="28"/>
          <w:szCs w:val="28"/>
        </w:rPr>
      </w:pPr>
      <w:r>
        <w:rPr>
          <w:rFonts w:hint="eastAsia" w:ascii="宋体" w:hAnsi="宋体" w:cs="宋体"/>
          <w:sz w:val="28"/>
          <w:szCs w:val="28"/>
        </w:rPr>
        <w:t>5、本项目中凡要求按照国家相关规定持证（包括但不限于上岗资格证、健康证及卫生体检证明等）上岗的人员，投标人相关人员均须按文件要求100%持有效证件上岗，并由供应商承担证书及其相关费用。</w:t>
      </w:r>
    </w:p>
    <w:p w14:paraId="6AFBEA78">
      <w:pPr>
        <w:widowControl/>
        <w:spacing w:line="500" w:lineRule="exact"/>
        <w:jc w:val="left"/>
        <w:rPr>
          <w:rFonts w:ascii="宋体" w:hAnsi="宋体" w:cs="宋体"/>
          <w:sz w:val="28"/>
          <w:szCs w:val="28"/>
        </w:rPr>
      </w:pPr>
      <w:r>
        <w:rPr>
          <w:rFonts w:hint="eastAsia" w:ascii="宋体" w:hAnsi="宋体" w:cs="宋体"/>
          <w:sz w:val="28"/>
          <w:szCs w:val="28"/>
        </w:rPr>
        <w:t>6、人员统一着装,配戴工号牌。</w:t>
      </w:r>
      <w:r>
        <w:rPr>
          <w:rFonts w:hint="eastAsia" w:ascii="宋体" w:hAnsi="宋体" w:cs="宋体"/>
          <w:sz w:val="28"/>
          <w:szCs w:val="28"/>
          <w:lang w:val="en-US" w:eastAsia="zh-CN"/>
        </w:rPr>
        <w:t>中医院</w:t>
      </w:r>
      <w:r>
        <w:rPr>
          <w:rFonts w:hint="eastAsia" w:ascii="宋体" w:hAnsi="宋体" w:cs="宋体"/>
          <w:sz w:val="28"/>
          <w:szCs w:val="28"/>
        </w:rPr>
        <w:t>所需后勤服务人员为</w:t>
      </w:r>
      <w:r>
        <w:rPr>
          <w:rFonts w:hint="eastAsia" w:ascii="宋体" w:hAnsi="宋体" w:cs="宋体"/>
          <w:sz w:val="28"/>
          <w:szCs w:val="28"/>
          <w:lang w:val="en-US" w:eastAsia="zh-CN"/>
        </w:rPr>
        <w:t>82</w:t>
      </w:r>
      <w:r>
        <w:rPr>
          <w:rFonts w:hint="eastAsia" w:ascii="宋体" w:hAnsi="宋体" w:cs="宋体"/>
          <w:sz w:val="28"/>
          <w:szCs w:val="28"/>
        </w:rPr>
        <w:t>人；</w:t>
      </w:r>
      <w:r>
        <w:rPr>
          <w:rFonts w:hint="eastAsia" w:ascii="宋体" w:hAnsi="宋体" w:cs="宋体"/>
          <w:sz w:val="28"/>
          <w:szCs w:val="28"/>
          <w:lang w:val="en-US" w:eastAsia="zh-CN"/>
        </w:rPr>
        <w:t>妇幼保健院</w:t>
      </w:r>
      <w:r>
        <w:rPr>
          <w:rFonts w:hint="eastAsia" w:ascii="宋体" w:hAnsi="宋体" w:cs="宋体"/>
          <w:sz w:val="28"/>
          <w:szCs w:val="28"/>
        </w:rPr>
        <w:t>所需后勤服务人员为</w:t>
      </w:r>
      <w:r>
        <w:rPr>
          <w:rFonts w:hint="eastAsia" w:ascii="宋体" w:hAnsi="宋体" w:cs="宋体"/>
          <w:sz w:val="28"/>
          <w:szCs w:val="28"/>
          <w:lang w:val="en-US" w:eastAsia="zh-CN"/>
        </w:rPr>
        <w:t>14</w:t>
      </w:r>
      <w:r>
        <w:rPr>
          <w:rFonts w:hint="eastAsia" w:ascii="宋体" w:hAnsi="宋体" w:cs="宋体"/>
          <w:sz w:val="28"/>
          <w:szCs w:val="28"/>
        </w:rPr>
        <w:t>人，需按国家规定缴纳社保（法定节假日在岗人数不得低于总人数的70%）。</w:t>
      </w:r>
    </w:p>
    <w:p w14:paraId="25645A46">
      <w:pPr>
        <w:widowControl/>
        <w:spacing w:line="500" w:lineRule="exact"/>
        <w:jc w:val="left"/>
        <w:rPr>
          <w:rFonts w:ascii="宋体" w:hAnsi="宋体" w:cs="宋体"/>
          <w:b/>
          <w:bCs/>
          <w:sz w:val="28"/>
          <w:szCs w:val="28"/>
        </w:rPr>
      </w:pPr>
      <w:r>
        <w:rPr>
          <w:rFonts w:hint="eastAsia" w:ascii="宋体" w:hAnsi="宋体" w:cs="宋体"/>
          <w:b/>
          <w:bCs/>
          <w:sz w:val="28"/>
          <w:szCs w:val="28"/>
        </w:rPr>
        <w:t>三、关于物业管理目标与保洁质量约定：</w:t>
      </w:r>
    </w:p>
    <w:p w14:paraId="2686B9FB">
      <w:pPr>
        <w:widowControl/>
        <w:spacing w:line="500" w:lineRule="exact"/>
        <w:jc w:val="left"/>
        <w:rPr>
          <w:rFonts w:ascii="宋体" w:hAnsi="宋体" w:cs="宋体"/>
          <w:sz w:val="28"/>
          <w:szCs w:val="28"/>
        </w:rPr>
      </w:pPr>
      <w:r>
        <w:rPr>
          <w:rFonts w:hint="eastAsia" w:ascii="宋体" w:hAnsi="宋体" w:cs="宋体"/>
          <w:sz w:val="28"/>
          <w:szCs w:val="28"/>
        </w:rPr>
        <w:t>1、物业管理要符合国家行业标准，文明城市创建和爱国卫生运动、等级医院评审等标准以及相关的行业标准；</w:t>
      </w:r>
    </w:p>
    <w:p w14:paraId="7E92174D">
      <w:pPr>
        <w:widowControl/>
        <w:spacing w:line="500" w:lineRule="exact"/>
        <w:jc w:val="left"/>
        <w:rPr>
          <w:rFonts w:ascii="宋体" w:hAnsi="宋体" w:cs="宋体"/>
          <w:sz w:val="28"/>
          <w:szCs w:val="28"/>
        </w:rPr>
      </w:pPr>
      <w:r>
        <w:rPr>
          <w:rFonts w:hint="eastAsia" w:ascii="宋体" w:hAnsi="宋体" w:cs="宋体"/>
          <w:sz w:val="28"/>
          <w:szCs w:val="28"/>
        </w:rPr>
        <w:t>2、物业公司必须提供全套的物业管理制度、各个岗位的岗位职责、操作流程、操作规范、质量标准和考核要求等，物业管理的各项工作有章可循；</w:t>
      </w:r>
    </w:p>
    <w:p w14:paraId="67C6C8E8">
      <w:pPr>
        <w:widowControl/>
        <w:spacing w:line="500" w:lineRule="exact"/>
        <w:jc w:val="left"/>
        <w:rPr>
          <w:rFonts w:ascii="宋体" w:hAnsi="宋体" w:cs="宋体"/>
          <w:sz w:val="28"/>
          <w:szCs w:val="28"/>
        </w:rPr>
      </w:pPr>
      <w:r>
        <w:rPr>
          <w:rFonts w:hint="eastAsia" w:ascii="宋体" w:hAnsi="宋体" w:cs="宋体"/>
          <w:sz w:val="28"/>
          <w:szCs w:val="28"/>
        </w:rPr>
        <w:t>3、公共环境：达到卫生整洁，无杂物、无痰迹、烟头、纸屑等；</w:t>
      </w:r>
    </w:p>
    <w:p w14:paraId="75403088">
      <w:pPr>
        <w:widowControl/>
        <w:spacing w:line="500" w:lineRule="exact"/>
        <w:jc w:val="left"/>
        <w:rPr>
          <w:rFonts w:ascii="宋体" w:hAnsi="宋体" w:cs="宋体"/>
          <w:sz w:val="28"/>
          <w:szCs w:val="28"/>
        </w:rPr>
      </w:pPr>
      <w:r>
        <w:rPr>
          <w:rFonts w:hint="eastAsia" w:ascii="宋体" w:hAnsi="宋体" w:cs="宋体"/>
          <w:sz w:val="28"/>
          <w:szCs w:val="28"/>
        </w:rPr>
        <w:t>4、室内环境：达到窗明几净，物品摆放整齐，垃圾清运及时；</w:t>
      </w:r>
    </w:p>
    <w:p w14:paraId="5900BA74">
      <w:pPr>
        <w:widowControl/>
        <w:spacing w:line="500" w:lineRule="exact"/>
        <w:jc w:val="left"/>
        <w:rPr>
          <w:rFonts w:ascii="宋体" w:hAnsi="宋体" w:cs="宋体"/>
          <w:sz w:val="28"/>
          <w:szCs w:val="28"/>
        </w:rPr>
      </w:pPr>
      <w:r>
        <w:rPr>
          <w:rFonts w:hint="eastAsia" w:ascii="宋体" w:hAnsi="宋体" w:cs="宋体"/>
          <w:sz w:val="28"/>
          <w:szCs w:val="28"/>
        </w:rPr>
        <w:t>5、电梯运行：按要求持证上岗，安全运行，一旦电梯有不正常的现象立即关闭，同时通知有关部门；</w:t>
      </w:r>
    </w:p>
    <w:p w14:paraId="1651F0D8">
      <w:pPr>
        <w:widowControl/>
        <w:spacing w:line="500" w:lineRule="exact"/>
        <w:jc w:val="left"/>
        <w:rPr>
          <w:rFonts w:ascii="宋体" w:hAnsi="宋体" w:cs="宋体"/>
          <w:sz w:val="28"/>
          <w:szCs w:val="28"/>
        </w:rPr>
      </w:pPr>
      <w:r>
        <w:rPr>
          <w:rFonts w:hint="eastAsia" w:ascii="宋体" w:hAnsi="宋体" w:cs="宋体"/>
          <w:sz w:val="28"/>
          <w:szCs w:val="28"/>
        </w:rPr>
        <w:t>6、手术室：环境清洁，病员接送做到安全、准确无误；</w:t>
      </w:r>
    </w:p>
    <w:p w14:paraId="7FFD3D2D">
      <w:pPr>
        <w:widowControl/>
        <w:spacing w:line="500" w:lineRule="exact"/>
        <w:jc w:val="left"/>
        <w:rPr>
          <w:rFonts w:ascii="宋体" w:hAnsi="宋体" w:cs="宋体"/>
          <w:sz w:val="28"/>
          <w:szCs w:val="28"/>
        </w:rPr>
      </w:pPr>
      <w:r>
        <w:rPr>
          <w:rFonts w:hint="eastAsia" w:ascii="宋体" w:hAnsi="宋体" w:cs="宋体"/>
          <w:sz w:val="28"/>
          <w:szCs w:val="28"/>
        </w:rPr>
        <w:t>7、送检员：使用送检箱及时、准确取送各种标本、医用或办公物品，并做好登记；</w:t>
      </w:r>
    </w:p>
    <w:p w14:paraId="0708804A">
      <w:pPr>
        <w:spacing w:line="500" w:lineRule="exact"/>
        <w:rPr>
          <w:rFonts w:ascii="宋体" w:hAnsi="宋体" w:cs="宋体"/>
          <w:sz w:val="28"/>
          <w:szCs w:val="28"/>
        </w:rPr>
      </w:pPr>
      <w:r>
        <w:rPr>
          <w:rFonts w:hint="eastAsia" w:ascii="宋体" w:hAnsi="宋体" w:cs="宋体"/>
          <w:sz w:val="28"/>
          <w:szCs w:val="28"/>
        </w:rPr>
        <w:t>8、做好微波炉的日常管理工作，在规定的时间内为病人热饭；</w:t>
      </w:r>
    </w:p>
    <w:p w14:paraId="5223E9A8">
      <w:pPr>
        <w:spacing w:line="500" w:lineRule="exact"/>
        <w:rPr>
          <w:rFonts w:ascii="宋体" w:hAnsi="宋体" w:cs="宋体"/>
          <w:sz w:val="28"/>
          <w:szCs w:val="28"/>
        </w:rPr>
      </w:pPr>
      <w:r>
        <w:rPr>
          <w:rFonts w:hint="eastAsia" w:ascii="宋体" w:hAnsi="宋体" w:cs="宋体"/>
          <w:sz w:val="28"/>
          <w:szCs w:val="28"/>
          <w:lang w:val="en-US" w:eastAsia="zh-CN"/>
        </w:rPr>
        <w:t>9</w:t>
      </w:r>
      <w:r>
        <w:rPr>
          <w:rFonts w:hint="eastAsia" w:ascii="宋体" w:hAnsi="宋体" w:cs="宋体"/>
          <w:sz w:val="28"/>
          <w:szCs w:val="28"/>
        </w:rPr>
        <w:t>、在所管理的范围内必须确保医疗工作的正常开展；</w:t>
      </w:r>
    </w:p>
    <w:p w14:paraId="1F198113">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0</w:t>
      </w:r>
      <w:r>
        <w:rPr>
          <w:rFonts w:hint="eastAsia" w:ascii="宋体" w:hAnsi="宋体" w:cs="宋体"/>
          <w:sz w:val="28"/>
          <w:szCs w:val="28"/>
        </w:rPr>
        <w:t>、积极配合院方接受各级检查、验收工作，确保保洁方面符合院方的要求；</w:t>
      </w:r>
    </w:p>
    <w:p w14:paraId="35405417">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1</w:t>
      </w:r>
      <w:r>
        <w:rPr>
          <w:rFonts w:hint="eastAsia" w:ascii="宋体" w:hAnsi="宋体" w:cs="宋体"/>
          <w:sz w:val="28"/>
          <w:szCs w:val="28"/>
        </w:rPr>
        <w:t>、接受甲方定期与不定期对物业服务工作的考核，接受甲方和病员对乙方工作的满意度考核，满意率达90%及以上；</w:t>
      </w:r>
    </w:p>
    <w:p w14:paraId="592C91BD">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、对所属员工尤其是手术室、电梯工、血透室、供应室等特殊岗位的员工进行定期不定期的培训，服务必须符合相关科室（特殊科室、岗位）的要求；</w:t>
      </w:r>
    </w:p>
    <w:p w14:paraId="19B63AEF">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3</w:t>
      </w:r>
      <w:r>
        <w:rPr>
          <w:rFonts w:hint="eastAsia" w:ascii="宋体" w:hAnsi="宋体" w:cs="宋体"/>
          <w:sz w:val="28"/>
          <w:szCs w:val="28"/>
        </w:rPr>
        <w:t>、乙方所聘人员必须身体健康并符合劳动法相关规定；</w:t>
      </w:r>
    </w:p>
    <w:p w14:paraId="133A1178">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4</w:t>
      </w:r>
      <w:r>
        <w:rPr>
          <w:rFonts w:hint="eastAsia" w:ascii="宋体" w:hAnsi="宋体" w:cs="宋体"/>
          <w:sz w:val="28"/>
          <w:szCs w:val="28"/>
        </w:rPr>
        <w:t>、乙方人员工作岗位必须按物业管理相关规范定人定岗，不得有空饷岗位；</w:t>
      </w:r>
    </w:p>
    <w:p w14:paraId="3B528E81">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5</w:t>
      </w:r>
      <w:r>
        <w:rPr>
          <w:rFonts w:hint="eastAsia" w:ascii="宋体" w:hAnsi="宋体" w:cs="宋体"/>
          <w:sz w:val="28"/>
          <w:szCs w:val="28"/>
        </w:rPr>
        <w:t>、除社会保险外，乙方必须为员工购买商业保险，乙方员工发生的工伤应由乙方自行承担，甲方不承担任何责任和相关费用；</w:t>
      </w:r>
    </w:p>
    <w:p w14:paraId="6034CC23">
      <w:pPr>
        <w:spacing w:line="500" w:lineRule="exact"/>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6</w:t>
      </w:r>
      <w:r>
        <w:rPr>
          <w:rFonts w:hint="eastAsia" w:ascii="宋体" w:hAnsi="宋体" w:cs="宋体"/>
          <w:sz w:val="28"/>
          <w:szCs w:val="28"/>
        </w:rPr>
        <w:t>、同时乙方做到以下承诺：</w:t>
      </w:r>
    </w:p>
    <w:p w14:paraId="20EF3FF1">
      <w:pPr>
        <w:spacing w:line="500" w:lineRule="exact"/>
        <w:rPr>
          <w:rFonts w:ascii="宋体" w:hAnsi="宋体" w:cs="宋体"/>
          <w:sz w:val="28"/>
          <w:szCs w:val="28"/>
        </w:rPr>
      </w:pPr>
      <w:r>
        <w:rPr>
          <w:rFonts w:hint="eastAsia" w:ascii="宋体" w:hAnsi="宋体" w:cs="宋体"/>
          <w:sz w:val="28"/>
          <w:szCs w:val="28"/>
        </w:rPr>
        <w:t>(1)全年发生安全事故为0。</w:t>
      </w:r>
    </w:p>
    <w:p w14:paraId="101BE012">
      <w:pPr>
        <w:spacing w:line="500" w:lineRule="exact"/>
        <w:rPr>
          <w:rFonts w:ascii="宋体" w:hAnsi="宋体" w:cs="宋体"/>
          <w:sz w:val="28"/>
          <w:szCs w:val="28"/>
        </w:rPr>
      </w:pPr>
      <w:r>
        <w:rPr>
          <w:rFonts w:hint="eastAsia" w:ascii="宋体" w:hAnsi="宋体" w:cs="宋体"/>
          <w:sz w:val="28"/>
          <w:szCs w:val="28"/>
        </w:rPr>
        <w:t>(2)员工培训合格上岗率达到100%。</w:t>
      </w:r>
    </w:p>
    <w:p w14:paraId="088D462A">
      <w:pPr>
        <w:spacing w:line="500" w:lineRule="exact"/>
        <w:rPr>
          <w:rFonts w:ascii="宋体" w:hAnsi="宋体" w:cs="宋体"/>
          <w:sz w:val="28"/>
          <w:szCs w:val="28"/>
        </w:rPr>
      </w:pPr>
      <w:r>
        <w:rPr>
          <w:rFonts w:hint="eastAsia" w:ascii="宋体" w:hAnsi="宋体" w:cs="宋体"/>
          <w:sz w:val="28"/>
          <w:szCs w:val="28"/>
        </w:rPr>
        <w:t>(3)院方综合满意率90%及以上。</w:t>
      </w:r>
    </w:p>
    <w:p w14:paraId="25625549">
      <w:pPr>
        <w:spacing w:line="500" w:lineRule="exact"/>
        <w:rPr>
          <w:rFonts w:ascii="宋体" w:hAnsi="宋体" w:cs="宋体"/>
          <w:sz w:val="28"/>
          <w:szCs w:val="28"/>
        </w:rPr>
      </w:pPr>
      <w:r>
        <w:rPr>
          <w:rFonts w:hint="eastAsia" w:ascii="宋体" w:hAnsi="宋体" w:cs="宋体"/>
          <w:sz w:val="28"/>
          <w:szCs w:val="28"/>
        </w:rPr>
        <w:t>(4)配送及时率95%及以上。</w:t>
      </w:r>
    </w:p>
    <w:p w14:paraId="3854707F">
      <w:pPr>
        <w:spacing w:line="500" w:lineRule="exact"/>
        <w:rPr>
          <w:rFonts w:ascii="宋体" w:hAnsi="宋体" w:cs="宋体"/>
          <w:sz w:val="28"/>
          <w:szCs w:val="28"/>
        </w:rPr>
      </w:pPr>
      <w:r>
        <w:rPr>
          <w:rFonts w:hint="eastAsia" w:ascii="宋体" w:hAnsi="宋体" w:cs="宋体"/>
          <w:sz w:val="28"/>
          <w:szCs w:val="28"/>
        </w:rPr>
        <w:t>(5)作业规程抽检合格率95%及以上。</w:t>
      </w:r>
    </w:p>
    <w:p w14:paraId="35B44F57">
      <w:pPr>
        <w:spacing w:line="500" w:lineRule="exact"/>
        <w:rPr>
          <w:rFonts w:ascii="宋体" w:hAnsi="宋体" w:cs="宋体"/>
          <w:sz w:val="28"/>
          <w:szCs w:val="28"/>
        </w:rPr>
      </w:pPr>
      <w:r>
        <w:rPr>
          <w:rFonts w:hint="eastAsia" w:ascii="宋体" w:hAnsi="宋体" w:cs="宋体"/>
          <w:sz w:val="28"/>
          <w:szCs w:val="28"/>
        </w:rPr>
        <w:t>(6)有效回访100%。</w:t>
      </w:r>
    </w:p>
    <w:p w14:paraId="32AD01CE">
      <w:pPr>
        <w:spacing w:line="500" w:lineRule="exact"/>
        <w:rPr>
          <w:rFonts w:ascii="宋体" w:hAnsi="宋体" w:cs="宋体"/>
          <w:sz w:val="28"/>
          <w:szCs w:val="28"/>
        </w:rPr>
      </w:pPr>
      <w:r>
        <w:rPr>
          <w:rFonts w:hint="eastAsia" w:ascii="宋体" w:hAnsi="宋体" w:cs="宋体"/>
          <w:sz w:val="28"/>
          <w:szCs w:val="28"/>
        </w:rPr>
        <w:t>(8)员工绩效考评有效率100%。</w:t>
      </w:r>
    </w:p>
    <w:p w14:paraId="1B0B95CD">
      <w:pPr>
        <w:spacing w:line="500" w:lineRule="exact"/>
        <w:rPr>
          <w:rFonts w:ascii="宋体" w:hAnsi="宋体" w:cs="宋体"/>
          <w:sz w:val="28"/>
          <w:szCs w:val="28"/>
        </w:rPr>
      </w:pPr>
      <w:r>
        <w:rPr>
          <w:rFonts w:hint="eastAsia" w:ascii="宋体" w:hAnsi="宋体" w:cs="宋体"/>
          <w:sz w:val="28"/>
          <w:szCs w:val="28"/>
        </w:rPr>
        <w:t>(9)有效投诉的及时处理及结案率为100%，院外投诉为0。</w:t>
      </w:r>
    </w:p>
    <w:p w14:paraId="48AAD623">
      <w:pPr>
        <w:spacing w:line="500" w:lineRule="exact"/>
        <w:rPr>
          <w:rFonts w:ascii="宋体" w:hAnsi="宋体" w:cs="宋体"/>
          <w:sz w:val="28"/>
          <w:szCs w:val="28"/>
        </w:rPr>
      </w:pPr>
      <w:r>
        <w:rPr>
          <w:rFonts w:hint="eastAsia" w:ascii="宋体" w:hAnsi="宋体" w:cs="宋体"/>
          <w:sz w:val="28"/>
          <w:szCs w:val="28"/>
        </w:rPr>
        <w:t>(10)各类突发事件的有效处理率为100%。</w:t>
      </w:r>
    </w:p>
    <w:p w14:paraId="4EF83B38">
      <w:pPr>
        <w:spacing w:line="500" w:lineRule="exact"/>
        <w:rPr>
          <w:rFonts w:ascii="宋体" w:hAnsi="宋体" w:cs="宋体"/>
          <w:sz w:val="28"/>
          <w:szCs w:val="28"/>
        </w:rPr>
      </w:pPr>
      <w:r>
        <w:rPr>
          <w:rFonts w:hint="eastAsia" w:ascii="宋体" w:hAnsi="宋体" w:cs="宋体"/>
          <w:sz w:val="28"/>
          <w:szCs w:val="28"/>
        </w:rPr>
        <w:t>(11)所用设备、工具、药剂均为国际国内一线品牌。</w:t>
      </w:r>
    </w:p>
    <w:p w14:paraId="44BD74E5">
      <w:pPr>
        <w:spacing w:line="500" w:lineRule="exact"/>
        <w:rPr>
          <w:rFonts w:ascii="宋体" w:hAnsi="宋体" w:cs="宋体"/>
          <w:sz w:val="28"/>
          <w:szCs w:val="28"/>
        </w:rPr>
      </w:pPr>
      <w:r>
        <w:rPr>
          <w:rFonts w:hint="eastAsia" w:ascii="宋体" w:hAnsi="宋体" w:cs="宋体"/>
          <w:sz w:val="28"/>
          <w:szCs w:val="28"/>
        </w:rPr>
        <w:t>(12)值班记录准确合格率100%。</w:t>
      </w:r>
    </w:p>
    <w:p w14:paraId="0AEC4AE3">
      <w:pPr>
        <w:spacing w:line="500" w:lineRule="exact"/>
        <w:rPr>
          <w:rFonts w:ascii="宋体" w:hAnsi="宋体" w:cs="宋体"/>
          <w:sz w:val="28"/>
          <w:szCs w:val="28"/>
        </w:rPr>
      </w:pPr>
      <w:r>
        <w:rPr>
          <w:rFonts w:hint="eastAsia" w:ascii="宋体" w:hAnsi="宋体" w:cs="宋体"/>
          <w:sz w:val="28"/>
          <w:szCs w:val="28"/>
        </w:rPr>
        <w:t>(13)在所有服务项目中按照最新服务规范对医院推行现代化、标准化管理。</w:t>
      </w:r>
    </w:p>
    <w:p w14:paraId="7F4AA5BA">
      <w:pPr>
        <w:spacing w:line="500" w:lineRule="exact"/>
        <w:rPr>
          <w:rFonts w:ascii="宋体" w:hAnsi="宋体" w:cs="宋体"/>
          <w:sz w:val="28"/>
          <w:szCs w:val="28"/>
        </w:rPr>
      </w:pPr>
      <w:r>
        <w:rPr>
          <w:rFonts w:hint="eastAsia" w:ascii="宋体" w:hAnsi="宋体" w:cs="宋体"/>
          <w:sz w:val="28"/>
          <w:szCs w:val="28"/>
        </w:rPr>
        <w:t>(14)加强全员职业道德和实务技能培训，并定期评估和考核，以提高员工服务主动性、规范性、专业性和服务热情。</w:t>
      </w:r>
    </w:p>
    <w:p w14:paraId="3BA5AA8B">
      <w:pPr>
        <w:spacing w:line="500" w:lineRule="exact"/>
        <w:rPr>
          <w:rFonts w:ascii="宋体" w:hAnsi="宋体" w:cs="宋体"/>
          <w:sz w:val="28"/>
          <w:szCs w:val="28"/>
        </w:rPr>
      </w:pPr>
      <w:r>
        <w:rPr>
          <w:rFonts w:hint="eastAsia" w:ascii="宋体" w:hAnsi="宋体" w:cs="宋体"/>
          <w:sz w:val="28"/>
          <w:szCs w:val="28"/>
        </w:rPr>
        <w:t>(15)实行公司、物业项目部与医院的管理模式，充分发挥满意度调查的作用，根据医院和病人的要求及时整改。</w:t>
      </w:r>
    </w:p>
    <w:p w14:paraId="628F5D2A">
      <w:pPr>
        <w:spacing w:line="500" w:lineRule="exact"/>
        <w:rPr>
          <w:rFonts w:ascii="宋体" w:hAnsi="宋体" w:cs="宋体"/>
          <w:sz w:val="28"/>
          <w:szCs w:val="28"/>
        </w:rPr>
      </w:pPr>
      <w:r>
        <w:rPr>
          <w:rFonts w:hint="eastAsia" w:ascii="宋体" w:hAnsi="宋体" w:cs="宋体"/>
          <w:sz w:val="28"/>
          <w:szCs w:val="28"/>
        </w:rPr>
        <w:t>(16)降低公司运营成本，保证员工福利待遇，确保医院后勤服务工作稳步进行。同时作以下承诺：</w:t>
      </w:r>
    </w:p>
    <w:p w14:paraId="155746D3">
      <w:pPr>
        <w:spacing w:line="500" w:lineRule="exact"/>
        <w:rPr>
          <w:rFonts w:ascii="宋体" w:hAnsi="宋体" w:cs="宋体"/>
          <w:sz w:val="28"/>
          <w:szCs w:val="28"/>
        </w:rPr>
      </w:pPr>
      <w:r>
        <w:rPr>
          <w:rFonts w:hint="eastAsia" w:ascii="宋体" w:hAnsi="宋体" w:cs="宋体"/>
          <w:sz w:val="28"/>
          <w:szCs w:val="28"/>
        </w:rPr>
        <w:t>1、节假日、夜间和非工作时间段的保洁质量。</w:t>
      </w:r>
    </w:p>
    <w:p w14:paraId="0F9D549B">
      <w:pPr>
        <w:spacing w:line="500" w:lineRule="exact"/>
        <w:rPr>
          <w:rFonts w:ascii="宋体" w:hAnsi="宋体" w:cs="宋体"/>
          <w:sz w:val="28"/>
          <w:szCs w:val="28"/>
        </w:rPr>
      </w:pPr>
      <w:r>
        <w:rPr>
          <w:rFonts w:hint="eastAsia" w:ascii="宋体" w:hAnsi="宋体" w:cs="宋体"/>
          <w:sz w:val="28"/>
          <w:szCs w:val="28"/>
        </w:rPr>
        <w:t>2、节假日、夜间和非工作时间段的送、陪检正常运行。</w:t>
      </w:r>
    </w:p>
    <w:p w14:paraId="2C33C221">
      <w:pPr>
        <w:spacing w:line="500" w:lineRule="exact"/>
        <w:rPr>
          <w:rFonts w:ascii="宋体" w:hAnsi="宋体" w:cs="宋体"/>
          <w:sz w:val="28"/>
          <w:szCs w:val="28"/>
        </w:rPr>
      </w:pPr>
      <w:r>
        <w:rPr>
          <w:rFonts w:hint="eastAsia" w:ascii="宋体" w:hAnsi="宋体" w:cs="宋体"/>
          <w:sz w:val="28"/>
          <w:szCs w:val="28"/>
        </w:rPr>
        <w:t>3、节假日、夜间和非工作时间段的主管值班制度。</w:t>
      </w:r>
    </w:p>
    <w:p w14:paraId="07F7E752">
      <w:pPr>
        <w:spacing w:line="500" w:lineRule="exact"/>
        <w:rPr>
          <w:rFonts w:ascii="宋体" w:hAnsi="宋体" w:cs="宋体"/>
          <w:sz w:val="28"/>
          <w:szCs w:val="28"/>
        </w:rPr>
      </w:pPr>
      <w:r>
        <w:rPr>
          <w:rFonts w:hint="eastAsia" w:ascii="宋体" w:hAnsi="宋体" w:cs="宋体"/>
          <w:sz w:val="28"/>
          <w:szCs w:val="28"/>
        </w:rPr>
        <w:t>4、节假日、夜间和非工作时间段的中心与中心之间的互动体制。</w:t>
      </w:r>
    </w:p>
    <w:p w14:paraId="7D42A3FB">
      <w:pPr>
        <w:spacing w:line="500" w:lineRule="exact"/>
        <w:rPr>
          <w:rFonts w:ascii="宋体" w:hAnsi="宋体" w:cs="宋体"/>
          <w:sz w:val="28"/>
          <w:szCs w:val="28"/>
        </w:rPr>
      </w:pPr>
      <w:r>
        <w:rPr>
          <w:rFonts w:hint="eastAsia" w:ascii="宋体" w:hAnsi="宋体" w:cs="宋体"/>
          <w:sz w:val="28"/>
          <w:szCs w:val="28"/>
        </w:rPr>
        <w:t>5、加强员工节能降耗意识（尤其是夏冬两季做好关门关窗工作）</w:t>
      </w:r>
    </w:p>
    <w:p w14:paraId="53B0BB53">
      <w:pPr>
        <w:spacing w:line="500" w:lineRule="exact"/>
        <w:rPr>
          <w:rFonts w:ascii="宋体" w:hAnsi="宋体" w:cs="宋体"/>
          <w:sz w:val="28"/>
          <w:szCs w:val="28"/>
        </w:rPr>
      </w:pPr>
      <w:r>
        <w:rPr>
          <w:rFonts w:hint="eastAsia" w:ascii="宋体" w:hAnsi="宋体" w:cs="宋体"/>
          <w:sz w:val="28"/>
          <w:szCs w:val="28"/>
        </w:rPr>
        <w:t>6、全员控烟，佩戴标识，落实区域包干责任。</w:t>
      </w:r>
    </w:p>
    <w:p w14:paraId="5F0830C1">
      <w:pPr>
        <w:spacing w:line="500" w:lineRule="exact"/>
        <w:rPr>
          <w:rFonts w:ascii="宋体" w:hAnsi="宋体" w:cs="宋体"/>
          <w:b/>
          <w:sz w:val="28"/>
          <w:szCs w:val="28"/>
        </w:rPr>
      </w:pPr>
      <w:r>
        <w:rPr>
          <w:rFonts w:hint="eastAsia" w:ascii="宋体" w:hAnsi="宋体" w:cs="宋体"/>
          <w:b/>
          <w:sz w:val="28"/>
          <w:szCs w:val="28"/>
        </w:rPr>
        <w:t>四、物业服务安全与质量考核办法</w:t>
      </w:r>
    </w:p>
    <w:p w14:paraId="15BA9EA2">
      <w:pPr>
        <w:spacing w:line="500" w:lineRule="exact"/>
        <w:rPr>
          <w:rFonts w:ascii="宋体" w:hAnsi="宋体" w:cs="宋体"/>
          <w:sz w:val="28"/>
          <w:szCs w:val="28"/>
        </w:rPr>
      </w:pPr>
      <w:r>
        <w:rPr>
          <w:rFonts w:hint="eastAsia" w:ascii="宋体" w:hAnsi="宋体" w:cs="宋体"/>
          <w:sz w:val="28"/>
          <w:szCs w:val="28"/>
        </w:rPr>
        <w:t>（一）医院考核</w:t>
      </w:r>
    </w:p>
    <w:p w14:paraId="6492829C">
      <w:pPr>
        <w:spacing w:line="500" w:lineRule="exact"/>
        <w:ind w:firstLine="560" w:firstLineChars="200"/>
        <w:rPr>
          <w:rFonts w:ascii="宋体" w:hAnsi="宋体" w:cs="宋体"/>
          <w:sz w:val="28"/>
          <w:szCs w:val="28"/>
        </w:rPr>
      </w:pPr>
      <w:r>
        <w:rPr>
          <w:rFonts w:hint="eastAsia" w:ascii="宋体" w:hAnsi="宋体" w:cs="宋体"/>
          <w:sz w:val="28"/>
          <w:szCs w:val="28"/>
        </w:rPr>
        <w:t>每月由甲方组织人员对物业服务安全与质量进行检查评分如：保洁、运送、电梯运行等；除根据甲方制定的考核明细表考核以外；甲方每月对物业服务安全与质量考核得分与月度/季度/半年/年度相关满意度调查的分数，作为对乙方的考核依据，分值不得低于90分。90-85分，每下降一分扣款1000元；甲方满意度低于85分或院级以上满意度调查相关服务内容满意度低于其平均值的，每下降1分扣款5000元，甲方书面通知乙方及时整改，第二次书面通知整改仍不到位，甲方有权要求乙方调换现场项目管理负责人员，第三次甲方书面通知整改仍不到位，甲方有权单方面终止合同。</w:t>
      </w:r>
    </w:p>
    <w:p w14:paraId="275DE23F">
      <w:pPr>
        <w:spacing w:line="500" w:lineRule="exact"/>
        <w:ind w:firstLine="560" w:firstLineChars="200"/>
        <w:rPr>
          <w:rFonts w:ascii="宋体" w:hAnsi="宋体" w:cs="宋体"/>
          <w:sz w:val="28"/>
          <w:szCs w:val="28"/>
        </w:rPr>
      </w:pPr>
      <w:r>
        <w:rPr>
          <w:rFonts w:hint="eastAsia" w:ascii="宋体" w:hAnsi="宋体" w:cs="宋体"/>
          <w:sz w:val="28"/>
          <w:szCs w:val="28"/>
        </w:rPr>
        <w:t>如有人员变动，需提前向总务科报备，3个月内招聘补足到位，逾期则扣除相关人员费用，且酌情考核扣除管理费。每月上交排班表及加盖社保部门公章的社保人员名单提供院方审核。</w:t>
      </w:r>
    </w:p>
    <w:p w14:paraId="45BF2782">
      <w:pPr>
        <w:spacing w:line="500" w:lineRule="exact"/>
        <w:ind w:firstLine="560" w:firstLineChars="200"/>
        <w:rPr>
          <w:rFonts w:ascii="宋体" w:hAnsi="宋体" w:cs="宋体"/>
          <w:sz w:val="28"/>
          <w:szCs w:val="28"/>
        </w:rPr>
      </w:pPr>
      <w:r>
        <w:rPr>
          <w:rFonts w:hint="eastAsia" w:ascii="宋体" w:hAnsi="宋体" w:cs="宋体"/>
          <w:sz w:val="28"/>
          <w:szCs w:val="28"/>
        </w:rPr>
        <w:t>乙方在履行合同时如配合医院的各项检查评比等活动，出现损坏医院声誉或影响评比结果的情况等，或出现违反劳动法、违反医疗废物处置等法律法规、谎报或瞒报人数等，一切损失和后果由乙方承担，甲方将视乙方违法违规情节严重程度扣除5000元或以上管理费用，直至解除合同。</w:t>
      </w:r>
    </w:p>
    <w:p w14:paraId="593833FA">
      <w:pPr>
        <w:spacing w:line="500" w:lineRule="exact"/>
        <w:rPr>
          <w:rFonts w:ascii="宋体" w:hAnsi="宋体" w:cs="宋体"/>
          <w:sz w:val="28"/>
          <w:szCs w:val="28"/>
        </w:rPr>
      </w:pPr>
      <w:r>
        <w:rPr>
          <w:rFonts w:hint="eastAsia" w:ascii="宋体" w:hAnsi="宋体" w:cs="宋体"/>
          <w:sz w:val="28"/>
          <w:szCs w:val="28"/>
        </w:rPr>
        <w:t>（二）物业公司需按时对物业项目部进行考核，项目部做好日检、周检、月检工作，每月将排班表、月检表、整改措施和结果等报甲方。</w:t>
      </w:r>
    </w:p>
    <w:p w14:paraId="70FD4228">
      <w:pPr>
        <w:pStyle w:val="17"/>
        <w:spacing w:line="500" w:lineRule="exact"/>
        <w:ind w:firstLine="0" w:firstLineChars="0"/>
        <w:rPr>
          <w:rFonts w:ascii="宋体" w:hAnsi="宋体" w:cs="宋体"/>
          <w:b/>
          <w:sz w:val="28"/>
          <w:szCs w:val="28"/>
        </w:rPr>
      </w:pPr>
      <w:r>
        <w:rPr>
          <w:rFonts w:hint="eastAsia" w:ascii="宋体" w:hAnsi="宋体" w:cs="宋体"/>
          <w:b/>
          <w:sz w:val="28"/>
          <w:szCs w:val="28"/>
        </w:rPr>
        <w:t>五、其他说明</w:t>
      </w:r>
    </w:p>
    <w:p w14:paraId="4EE2D103">
      <w:pPr>
        <w:widowControl/>
        <w:spacing w:line="500" w:lineRule="exact"/>
        <w:jc w:val="left"/>
        <w:rPr>
          <w:rFonts w:ascii="宋体" w:hAnsi="宋体" w:cs="宋体"/>
          <w:color w:val="000000"/>
          <w:sz w:val="28"/>
          <w:szCs w:val="28"/>
        </w:rPr>
      </w:pPr>
      <w:r>
        <w:rPr>
          <w:rFonts w:hint="eastAsia" w:ascii="宋体" w:hAnsi="宋体" w:cs="宋体"/>
          <w:color w:val="000000"/>
          <w:sz w:val="28"/>
          <w:szCs w:val="28"/>
        </w:rPr>
        <w:t>1、本项目费用含所有员工工资、保险、夜班费、节日福利费、加班费（包括执行国家法规所有法定节假日的加班费，法定节假日在岗人数不得低于总人数的70%）、病假人员替班工资、夏季高温费、特殊人员体检费、服务所用材料消耗费用（地面及各种地板保洁打蜡保养费等）、培训费、工具、垃圾袋、设备购置及维护费用、服装与装具费、离职补偿费、办公区域所消耗水电费(如果有)、管理费、营业利润、应缴的税费、疫情防控费用、采购人重大或者临时性活动服务费用、其它相关费用等，采购方不承担任何其他以外费用。（院内所有PVC地板进行打蜡维护，每年保养2次，费用由中标方自行承担）。</w:t>
      </w:r>
    </w:p>
    <w:p w14:paraId="10A35232">
      <w:pPr>
        <w:spacing w:line="500" w:lineRule="exact"/>
        <w:rPr>
          <w:rFonts w:ascii="宋体" w:hAnsi="宋体" w:cs="宋体"/>
          <w:b/>
          <w:color w:val="FF0000"/>
          <w:sz w:val="28"/>
          <w:szCs w:val="28"/>
        </w:rPr>
      </w:pPr>
      <w:r>
        <w:rPr>
          <w:rFonts w:hint="eastAsia" w:ascii="宋体" w:hAnsi="宋体" w:cs="宋体"/>
          <w:color w:val="FF0000"/>
          <w:sz w:val="28"/>
          <w:szCs w:val="28"/>
        </w:rPr>
        <w:t>2、本项目</w:t>
      </w:r>
      <w:r>
        <w:rPr>
          <w:rFonts w:hint="eastAsia" w:ascii="宋体" w:hAnsi="宋体" w:cs="宋体"/>
          <w:color w:val="FF0000"/>
          <w:sz w:val="28"/>
          <w:szCs w:val="28"/>
          <w:lang w:val="en-US" w:eastAsia="zh-CN"/>
        </w:rPr>
        <w:t>服务期限</w:t>
      </w:r>
      <w:r>
        <w:rPr>
          <w:rFonts w:hint="eastAsia" w:ascii="宋体" w:hAnsi="宋体" w:cs="宋体"/>
          <w:color w:val="FF0000"/>
          <w:sz w:val="28"/>
          <w:szCs w:val="28"/>
        </w:rPr>
        <w:t>为叁年，考核合格后每年一签；叁年内无特殊原因，合同金额不作调整（国家政策规定上调的除外）。</w:t>
      </w:r>
    </w:p>
    <w:p w14:paraId="5187B23D">
      <w:pPr>
        <w:spacing w:line="500" w:lineRule="exact"/>
        <w:rPr>
          <w:rFonts w:ascii="宋体" w:hAnsi="宋体" w:cs="宋体"/>
          <w:sz w:val="28"/>
          <w:szCs w:val="28"/>
        </w:rPr>
      </w:pPr>
      <w:r>
        <w:rPr>
          <w:rFonts w:hint="eastAsia" w:ascii="宋体" w:hAnsi="宋体" w:cs="宋体"/>
          <w:sz w:val="28"/>
          <w:szCs w:val="28"/>
        </w:rPr>
        <w:t>3、投标单位需在投标时对照招标要求人数，拟定并递交人员分布方案，方案要匹配</w:t>
      </w:r>
      <w:r>
        <w:rPr>
          <w:rFonts w:hint="eastAsia" w:ascii="宋体" w:hAnsi="宋体" w:cs="宋体"/>
          <w:sz w:val="28"/>
          <w:szCs w:val="28"/>
          <w:lang w:val="en-US" w:eastAsia="zh-CN"/>
        </w:rPr>
        <w:t>中医院及妇幼保健院</w:t>
      </w:r>
      <w:r>
        <w:rPr>
          <w:rFonts w:hint="eastAsia" w:ascii="宋体" w:hAnsi="宋体" w:cs="宋体"/>
          <w:sz w:val="28"/>
          <w:szCs w:val="28"/>
        </w:rPr>
        <w:t>实际工作内容及工作量要求，在中标后3~6个月内调整到位，保证现有物业工人队伍的稳定。由于人员调整所导致的一切问题、矛盾及责任由中标单位负责处理，相关职能科室、各使用科室做好协调配合。</w:t>
      </w:r>
    </w:p>
    <w:p w14:paraId="7C5EECCD">
      <w:pPr>
        <w:pStyle w:val="17"/>
        <w:spacing w:line="500" w:lineRule="exact"/>
        <w:ind w:firstLine="0" w:firstLineChars="0"/>
        <w:rPr>
          <w:rFonts w:ascii="宋体" w:hAnsi="宋体" w:cs="宋体"/>
          <w:b/>
          <w:sz w:val="28"/>
          <w:szCs w:val="28"/>
        </w:rPr>
      </w:pPr>
      <w:r>
        <w:rPr>
          <w:rFonts w:hint="eastAsia" w:ascii="宋体" w:hAnsi="宋体" w:cs="宋体"/>
          <w:sz w:val="28"/>
          <w:szCs w:val="28"/>
          <w:lang w:val="en-US" w:eastAsia="zh-CN"/>
        </w:rPr>
        <w:t>4</w:t>
      </w:r>
      <w:r>
        <w:rPr>
          <w:rFonts w:hint="eastAsia" w:ascii="宋体" w:hAnsi="宋体" w:cs="宋体"/>
          <w:sz w:val="28"/>
          <w:szCs w:val="28"/>
        </w:rPr>
        <w:t>、在运行过程中，医院可根据实际工作量、实际服务科室、服务区域的情况要求物业服务单位对物业人员数量进行微调，物业服务单位要无条件响应；</w:t>
      </w:r>
    </w:p>
    <w:p w14:paraId="6987D00A">
      <w:pPr>
        <w:pStyle w:val="17"/>
        <w:spacing w:line="500" w:lineRule="exact"/>
        <w:ind w:firstLine="0" w:firstLineChars="0"/>
        <w:rPr>
          <w:rFonts w:ascii="宋体" w:hAnsi="宋体" w:cs="宋体"/>
          <w:b/>
          <w:sz w:val="28"/>
          <w:szCs w:val="28"/>
        </w:rPr>
      </w:pPr>
      <w:r>
        <w:rPr>
          <w:rFonts w:hint="eastAsia" w:ascii="宋体" w:hAnsi="宋体" w:cs="宋体"/>
          <w:b/>
          <w:sz w:val="28"/>
          <w:szCs w:val="28"/>
        </w:rPr>
        <w:t>六、付款方式：</w:t>
      </w:r>
    </w:p>
    <w:p w14:paraId="3CA09E36">
      <w:pPr>
        <w:pStyle w:val="17"/>
        <w:spacing w:line="500" w:lineRule="exact"/>
        <w:ind w:firstLine="0" w:firstLineChars="0"/>
        <w:rPr>
          <w:rFonts w:hint="eastAsia" w:ascii="宋体" w:hAnsi="宋体" w:cs="宋体"/>
          <w:sz w:val="28"/>
          <w:szCs w:val="28"/>
        </w:rPr>
      </w:pPr>
      <w:r>
        <w:rPr>
          <w:rFonts w:hint="eastAsia" w:ascii="宋体" w:hAnsi="宋体" w:cs="宋体"/>
          <w:sz w:val="28"/>
          <w:szCs w:val="28"/>
        </w:rPr>
        <w:t>物业公司在按规定完成各项工作后并考核合格后，开具正式发票给院方，</w:t>
      </w:r>
      <w:r>
        <w:rPr>
          <w:rFonts w:hint="eastAsia" w:ascii="宋体" w:hAnsi="宋体" w:cs="宋体"/>
          <w:b w:val="0"/>
          <w:bCs/>
          <w:sz w:val="28"/>
          <w:szCs w:val="28"/>
          <w:u w:val="none"/>
        </w:rPr>
        <w:t>每</w:t>
      </w:r>
      <w:r>
        <w:rPr>
          <w:rFonts w:hint="eastAsia" w:ascii="宋体" w:hAnsi="宋体" w:cs="宋体"/>
          <w:b w:val="0"/>
          <w:bCs/>
          <w:sz w:val="28"/>
          <w:szCs w:val="28"/>
          <w:u w:val="none"/>
          <w:lang w:val="en-US" w:eastAsia="zh-CN"/>
        </w:rPr>
        <w:t>月</w:t>
      </w:r>
      <w:r>
        <w:rPr>
          <w:rFonts w:hint="eastAsia" w:ascii="宋体" w:hAnsi="宋体" w:cs="宋体"/>
          <w:b w:val="0"/>
          <w:bCs/>
          <w:sz w:val="28"/>
          <w:szCs w:val="28"/>
          <w:u w:val="none"/>
        </w:rPr>
        <w:t>付款壹次</w:t>
      </w:r>
      <w:r>
        <w:rPr>
          <w:rFonts w:hint="eastAsia" w:ascii="宋体" w:hAnsi="宋体" w:cs="宋体"/>
          <w:sz w:val="28"/>
          <w:szCs w:val="28"/>
        </w:rPr>
        <w:t>。</w:t>
      </w:r>
    </w:p>
    <w:p w14:paraId="390701B6">
      <w:pPr>
        <w:pStyle w:val="12"/>
        <w:spacing w:line="500" w:lineRule="exact"/>
        <w:ind w:left="0" w:firstLine="0"/>
        <w:jc w:val="left"/>
        <w:outlineLvl w:val="0"/>
        <w:rPr>
          <w:rFonts w:hint="eastAsia" w:ascii="仿宋_GB2312" w:hAnsi="宋体" w:eastAsia="宋体" w:cs="宋体"/>
          <w:b/>
          <w:color w:val="000000"/>
          <w:sz w:val="28"/>
          <w:szCs w:val="24"/>
          <w:lang w:val="en-US" w:eastAsia="zh-CN"/>
        </w:rPr>
      </w:pPr>
      <w:r>
        <w:rPr>
          <w:rFonts w:hint="eastAsia" w:ascii="仿宋_GB2312" w:hAnsi="宋体" w:eastAsia="宋体" w:cs="宋体"/>
          <w:b/>
          <w:color w:val="000000"/>
          <w:sz w:val="28"/>
          <w:szCs w:val="24"/>
        </w:rPr>
        <w:t>七、两院区物业岗位人员明细表</w:t>
      </w:r>
      <w:r>
        <w:rPr>
          <w:rFonts w:hint="eastAsia" w:ascii="仿宋_GB2312" w:hAnsi="宋体" w:eastAsia="宋体" w:cs="宋体"/>
          <w:b/>
          <w:color w:val="000000"/>
          <w:sz w:val="28"/>
          <w:szCs w:val="24"/>
          <w:lang w:val="en-US" w:eastAsia="zh-CN"/>
        </w:rPr>
        <w:t>（供应商须提供承诺书）</w:t>
      </w:r>
    </w:p>
    <w:p w14:paraId="1042F901">
      <w:pPr>
        <w:rPr>
          <w:rFonts w:hint="eastAsia" w:ascii="仿宋_GB2312" w:hAnsi="宋体" w:eastAsia="宋体" w:cs="宋体"/>
          <w:b/>
          <w:color w:val="000000"/>
          <w:sz w:val="28"/>
          <w:lang w:eastAsia="zh-CN"/>
        </w:rPr>
      </w:pPr>
      <w:r>
        <w:rPr>
          <w:rFonts w:hint="eastAsia" w:ascii="仿宋_GB2312" w:hAnsi="宋体" w:cs="宋体"/>
          <w:b/>
          <w:color w:val="000000"/>
          <w:sz w:val="28"/>
        </w:rPr>
        <w:t>1、</w:t>
      </w:r>
      <w:r>
        <w:rPr>
          <w:rFonts w:hint="eastAsia" w:ascii="仿宋_GB2312" w:hAnsi="宋体" w:cs="宋体"/>
          <w:b/>
          <w:color w:val="000000"/>
          <w:sz w:val="28"/>
          <w:lang w:val="en-US" w:eastAsia="zh-CN"/>
        </w:rPr>
        <w:t>中医院</w:t>
      </w:r>
      <w:r>
        <w:rPr>
          <w:rFonts w:hint="eastAsia" w:ascii="仿宋_GB2312" w:hAnsi="宋体" w:cs="宋体"/>
          <w:b/>
          <w:color w:val="000000"/>
          <w:sz w:val="28"/>
        </w:rPr>
        <w:t>物业岗位人员明细表：</w:t>
      </w:r>
    </w:p>
    <w:tbl>
      <w:tblPr>
        <w:tblStyle w:val="18"/>
        <w:tblW w:w="8790" w:type="dxa"/>
        <w:tblInd w:w="93" w:type="dxa"/>
        <w:tblLayout w:type="fixed"/>
        <w:tblCellMar>
          <w:top w:w="0" w:type="dxa"/>
          <w:left w:w="108" w:type="dxa"/>
          <w:bottom w:w="0" w:type="dxa"/>
          <w:right w:w="108" w:type="dxa"/>
        </w:tblCellMar>
      </w:tblPr>
      <w:tblGrid>
        <w:gridCol w:w="1395"/>
        <w:gridCol w:w="900"/>
        <w:gridCol w:w="92"/>
        <w:gridCol w:w="2913"/>
        <w:gridCol w:w="953"/>
        <w:gridCol w:w="2537"/>
      </w:tblGrid>
      <w:tr w14:paraId="225C982F">
        <w:tblPrEx>
          <w:tblCellMar>
            <w:top w:w="0" w:type="dxa"/>
            <w:left w:w="108" w:type="dxa"/>
            <w:bottom w:w="0" w:type="dxa"/>
            <w:right w:w="108" w:type="dxa"/>
          </w:tblCellMar>
        </w:tblPrEx>
        <w:trPr>
          <w:trHeight w:val="624" w:hRule="atLeast"/>
        </w:trPr>
        <w:tc>
          <w:tcPr>
            <w:tcW w:w="8790" w:type="dxa"/>
            <w:gridSpan w:val="6"/>
            <w:tcBorders>
              <w:top w:val="single" w:color="000000" w:sz="4" w:space="0"/>
              <w:left w:val="single" w:color="000000" w:sz="4" w:space="0"/>
              <w:bottom w:val="single" w:color="000000" w:sz="4" w:space="0"/>
              <w:right w:val="single" w:color="000000" w:sz="4" w:space="0"/>
            </w:tcBorders>
            <w:noWrap w:val="0"/>
            <w:vAlign w:val="center"/>
          </w:tcPr>
          <w:p w14:paraId="78B4216A">
            <w:pPr>
              <w:widowControl/>
              <w:jc w:val="center"/>
              <w:textAlignment w:val="center"/>
              <w:rPr>
                <w:rFonts w:ascii="宋体" w:hAnsi="宋体" w:cs="宋体"/>
                <w:color w:val="000000"/>
              </w:rPr>
            </w:pPr>
            <w:r>
              <w:rPr>
                <w:rFonts w:hint="eastAsia" w:ascii="宋体" w:hAnsi="宋体" w:cs="宋体"/>
                <w:color w:val="000000"/>
              </w:rPr>
              <w:t>门急诊岗位人员明细</w:t>
            </w:r>
          </w:p>
        </w:tc>
      </w:tr>
      <w:tr w14:paraId="0E0528C1">
        <w:tblPrEx>
          <w:tblCellMar>
            <w:top w:w="0" w:type="dxa"/>
            <w:left w:w="108" w:type="dxa"/>
            <w:bottom w:w="0" w:type="dxa"/>
            <w:right w:w="108" w:type="dxa"/>
          </w:tblCellMar>
        </w:tblPrEx>
        <w:trPr>
          <w:trHeight w:val="624"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DD7264D">
            <w:pPr>
              <w:widowControl/>
              <w:jc w:val="center"/>
              <w:textAlignment w:val="center"/>
              <w:rPr>
                <w:rFonts w:ascii="宋体" w:hAnsi="宋体" w:cs="宋体"/>
                <w:color w:val="000000"/>
              </w:rPr>
            </w:pPr>
            <w:r>
              <w:rPr>
                <w:rFonts w:hint="eastAsia" w:ascii="宋体" w:hAnsi="宋体" w:cs="宋体"/>
                <w:color w:val="000000"/>
              </w:rPr>
              <w:t>区域</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302DBD2">
            <w:pPr>
              <w:widowControl/>
              <w:jc w:val="center"/>
              <w:textAlignment w:val="center"/>
              <w:rPr>
                <w:rFonts w:ascii="宋体" w:hAnsi="宋体" w:cs="宋体"/>
                <w:color w:val="000000"/>
              </w:rPr>
            </w:pPr>
            <w:r>
              <w:rPr>
                <w:rFonts w:hint="eastAsia" w:ascii="宋体" w:hAnsi="宋体" w:cs="宋体"/>
                <w:color w:val="000000"/>
              </w:rPr>
              <w:t>楼层</w:t>
            </w:r>
          </w:p>
        </w:tc>
        <w:tc>
          <w:tcPr>
            <w:tcW w:w="3005" w:type="dxa"/>
            <w:gridSpan w:val="2"/>
            <w:tcBorders>
              <w:top w:val="single" w:color="000000" w:sz="4" w:space="0"/>
              <w:left w:val="single" w:color="000000" w:sz="4" w:space="0"/>
              <w:bottom w:val="single" w:color="000000" w:sz="4" w:space="0"/>
              <w:right w:val="single" w:color="000000" w:sz="4" w:space="0"/>
            </w:tcBorders>
            <w:noWrap w:val="0"/>
            <w:vAlign w:val="center"/>
          </w:tcPr>
          <w:p w14:paraId="0734605E">
            <w:pPr>
              <w:widowControl/>
              <w:jc w:val="center"/>
              <w:textAlignment w:val="center"/>
              <w:rPr>
                <w:rFonts w:ascii="宋体" w:hAnsi="宋体" w:cs="宋体"/>
                <w:color w:val="000000"/>
              </w:rPr>
            </w:pPr>
            <w:r>
              <w:rPr>
                <w:rFonts w:hint="eastAsia" w:ascii="宋体" w:hAnsi="宋体" w:cs="宋体"/>
                <w:color w:val="000000"/>
              </w:rPr>
              <w:t>工作区域</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27A84E9F">
            <w:pPr>
              <w:widowControl/>
              <w:jc w:val="center"/>
              <w:textAlignment w:val="center"/>
              <w:rPr>
                <w:rFonts w:ascii="宋体" w:hAnsi="宋体" w:cs="宋体"/>
                <w:color w:val="000000"/>
              </w:rPr>
            </w:pPr>
            <w:r>
              <w:rPr>
                <w:rFonts w:hint="eastAsia" w:ascii="宋体" w:hAnsi="宋体" w:cs="宋体"/>
                <w:color w:val="000000"/>
              </w:rPr>
              <w:t>人数</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03E34C5">
            <w:pPr>
              <w:widowControl/>
              <w:jc w:val="center"/>
              <w:textAlignment w:val="center"/>
              <w:rPr>
                <w:rFonts w:hint="eastAsia" w:ascii="宋体" w:hAnsi="宋体" w:cs="宋体"/>
                <w:color w:val="000000"/>
              </w:rPr>
            </w:pPr>
            <w:r>
              <w:rPr>
                <w:rFonts w:hint="eastAsia" w:ascii="宋体" w:hAnsi="宋体" w:cs="宋体"/>
                <w:color w:val="000000"/>
              </w:rPr>
              <w:t>工作内容</w:t>
            </w:r>
          </w:p>
        </w:tc>
      </w:tr>
      <w:tr w14:paraId="69830A72">
        <w:tblPrEx>
          <w:tblCellMar>
            <w:top w:w="0" w:type="dxa"/>
            <w:left w:w="108" w:type="dxa"/>
            <w:bottom w:w="0" w:type="dxa"/>
            <w:right w:w="108" w:type="dxa"/>
          </w:tblCellMar>
        </w:tblPrEx>
        <w:trPr>
          <w:trHeight w:val="624" w:hRule="atLeast"/>
        </w:trPr>
        <w:tc>
          <w:tcPr>
            <w:tcW w:w="1395" w:type="dxa"/>
            <w:vMerge w:val="restart"/>
            <w:tcBorders>
              <w:top w:val="single" w:color="000000" w:sz="4" w:space="0"/>
              <w:left w:val="single" w:color="000000" w:sz="4" w:space="0"/>
              <w:bottom w:val="single" w:color="000000" w:sz="4" w:space="0"/>
              <w:right w:val="single" w:color="000000" w:sz="4" w:space="0"/>
            </w:tcBorders>
            <w:noWrap/>
            <w:vAlign w:val="center"/>
          </w:tcPr>
          <w:p w14:paraId="769DE70C">
            <w:pPr>
              <w:widowControl/>
              <w:jc w:val="center"/>
              <w:textAlignment w:val="center"/>
              <w:rPr>
                <w:rFonts w:ascii="宋体" w:hAnsi="宋体" w:cs="宋体"/>
                <w:color w:val="000000"/>
              </w:rPr>
            </w:pPr>
          </w:p>
          <w:p w14:paraId="692F1AD3">
            <w:pPr>
              <w:widowControl/>
              <w:jc w:val="center"/>
              <w:textAlignment w:val="center"/>
              <w:rPr>
                <w:rFonts w:ascii="宋体" w:hAnsi="宋体" w:cs="宋体"/>
                <w:color w:val="000000"/>
              </w:rPr>
            </w:pPr>
          </w:p>
          <w:p w14:paraId="502F96DC">
            <w:pPr>
              <w:widowControl/>
              <w:jc w:val="center"/>
              <w:textAlignment w:val="center"/>
              <w:rPr>
                <w:rFonts w:hint="eastAsia" w:ascii="宋体" w:hAnsi="宋体" w:cs="宋体"/>
                <w:color w:val="000000"/>
              </w:rPr>
            </w:pPr>
            <w:r>
              <w:rPr>
                <w:rFonts w:hint="eastAsia" w:ascii="宋体" w:hAnsi="宋体" w:cs="宋体"/>
                <w:color w:val="000000"/>
              </w:rPr>
              <w:t>门急诊楼</w:t>
            </w:r>
          </w:p>
          <w:p w14:paraId="0E94F10F">
            <w:pPr>
              <w:widowControl/>
              <w:jc w:val="center"/>
              <w:textAlignment w:val="center"/>
              <w:rPr>
                <w:rFonts w:ascii="宋体" w:hAnsi="宋体" w:cs="宋体"/>
                <w:color w:val="000000"/>
              </w:rPr>
            </w:pPr>
            <w:r>
              <w:rPr>
                <w:rFonts w:hint="eastAsia" w:ascii="宋体" w:hAnsi="宋体" w:cs="宋体"/>
                <w:color w:val="000000"/>
                <w:lang w:val="en-US" w:eastAsia="zh-CN"/>
              </w:rPr>
              <w:t>14</w:t>
            </w:r>
            <w:r>
              <w:rPr>
                <w:rFonts w:hint="eastAsia" w:ascii="宋体" w:hAnsi="宋体" w:cs="宋体"/>
                <w:color w:val="000000"/>
              </w:rPr>
              <w:t>人</w:t>
            </w:r>
          </w:p>
        </w:tc>
        <w:tc>
          <w:tcPr>
            <w:tcW w:w="900" w:type="dxa"/>
            <w:vMerge w:val="restart"/>
            <w:tcBorders>
              <w:top w:val="single" w:color="000000" w:sz="4" w:space="0"/>
              <w:left w:val="single" w:color="000000" w:sz="4" w:space="0"/>
              <w:bottom w:val="single" w:color="000000" w:sz="4" w:space="0"/>
              <w:right w:val="single" w:color="000000" w:sz="4" w:space="0"/>
            </w:tcBorders>
            <w:noWrap/>
            <w:vAlign w:val="center"/>
          </w:tcPr>
          <w:p w14:paraId="427D8BAB">
            <w:pPr>
              <w:widowControl/>
              <w:jc w:val="center"/>
              <w:textAlignment w:val="center"/>
              <w:rPr>
                <w:rFonts w:ascii="宋体" w:hAnsi="宋体" w:cs="宋体"/>
                <w:color w:val="000000"/>
              </w:rPr>
            </w:pPr>
            <w:r>
              <w:rPr>
                <w:rFonts w:hint="eastAsia" w:ascii="宋体" w:hAnsi="宋体" w:cs="宋体"/>
                <w:color w:val="000000"/>
              </w:rPr>
              <w:t>4F</w:t>
            </w: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52DE41A6">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rPr>
              <w:t>体检中心</w:t>
            </w:r>
            <w:r>
              <w:rPr>
                <w:rFonts w:hint="eastAsia" w:ascii="宋体" w:hAnsi="宋体" w:cs="宋体"/>
                <w:color w:val="000000"/>
                <w:lang w:eastAsia="zh-CN"/>
              </w:rPr>
              <w:t>、</w:t>
            </w:r>
            <w:r>
              <w:rPr>
                <w:rFonts w:hint="eastAsia" w:ascii="宋体" w:hAnsi="宋体" w:cs="宋体"/>
                <w:color w:val="000000"/>
                <w:lang w:val="en-US" w:eastAsia="zh-CN"/>
              </w:rPr>
              <w:t>针灸推拿、名医堂</w:t>
            </w:r>
          </w:p>
        </w:tc>
        <w:tc>
          <w:tcPr>
            <w:tcW w:w="953" w:type="dxa"/>
            <w:vMerge w:val="restart"/>
            <w:tcBorders>
              <w:top w:val="single" w:color="000000" w:sz="4" w:space="0"/>
              <w:left w:val="single" w:color="000000" w:sz="4" w:space="0"/>
              <w:right w:val="single" w:color="000000" w:sz="4" w:space="0"/>
            </w:tcBorders>
            <w:noWrap/>
            <w:vAlign w:val="center"/>
          </w:tcPr>
          <w:p w14:paraId="732F3DF1">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164C0588">
            <w:pPr>
              <w:widowControl/>
              <w:jc w:val="center"/>
              <w:textAlignment w:val="center"/>
              <w:rPr>
                <w:rFonts w:hint="eastAsia" w:ascii="宋体" w:hAnsi="宋体" w:cs="宋体"/>
                <w:color w:val="000000"/>
              </w:rPr>
            </w:pPr>
            <w:r>
              <w:rPr>
                <w:rFonts w:hint="eastAsia" w:ascii="宋体" w:hAnsi="宋体" w:cs="宋体"/>
                <w:color w:val="000000"/>
              </w:rPr>
              <w:t>保洁</w:t>
            </w:r>
            <w:r>
              <w:rPr>
                <w:rFonts w:hint="eastAsia" w:ascii="宋体" w:hAnsi="宋体" w:cs="宋体"/>
                <w:color w:val="000000"/>
                <w:lang w:val="en-US" w:eastAsia="zh-CN"/>
              </w:rPr>
              <w:t>1</w:t>
            </w:r>
            <w:r>
              <w:rPr>
                <w:rFonts w:hint="eastAsia" w:ascii="宋体" w:hAnsi="宋体" w:cs="宋体"/>
                <w:color w:val="000000"/>
              </w:rPr>
              <w:t>人</w:t>
            </w:r>
          </w:p>
        </w:tc>
      </w:tr>
      <w:tr w14:paraId="37D270D8">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7F3F3809">
            <w:pPr>
              <w:jc w:val="center"/>
              <w:rPr>
                <w:rFonts w:ascii="宋体" w:hAnsi="宋体" w:cs="宋体"/>
                <w:color w:val="000000"/>
              </w:rPr>
            </w:pPr>
          </w:p>
        </w:tc>
        <w:tc>
          <w:tcPr>
            <w:tcW w:w="900" w:type="dxa"/>
            <w:vMerge w:val="continue"/>
            <w:tcBorders>
              <w:top w:val="single" w:color="000000" w:sz="4" w:space="0"/>
              <w:left w:val="single" w:color="000000" w:sz="4" w:space="0"/>
              <w:bottom w:val="single" w:color="000000" w:sz="4" w:space="0"/>
              <w:right w:val="single" w:color="000000" w:sz="4" w:space="0"/>
            </w:tcBorders>
            <w:noWrap/>
            <w:vAlign w:val="center"/>
          </w:tcPr>
          <w:p w14:paraId="53835AF1">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3B323003">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病理科</w:t>
            </w:r>
          </w:p>
        </w:tc>
        <w:tc>
          <w:tcPr>
            <w:tcW w:w="953" w:type="dxa"/>
            <w:vMerge w:val="continue"/>
            <w:tcBorders>
              <w:left w:val="single" w:color="000000" w:sz="4" w:space="0"/>
              <w:bottom w:val="single" w:color="000000" w:sz="4" w:space="0"/>
              <w:right w:val="single" w:color="000000" w:sz="4" w:space="0"/>
            </w:tcBorders>
            <w:noWrap/>
            <w:vAlign w:val="center"/>
          </w:tcPr>
          <w:p w14:paraId="21146713">
            <w:pPr>
              <w:widowControl/>
              <w:spacing w:line="240" w:lineRule="auto"/>
              <w:jc w:val="center"/>
              <w:textAlignment w:val="center"/>
              <w:rPr>
                <w:rFonts w:ascii="宋体" w:hAnsi="宋体" w:cs="宋体"/>
                <w:color w:val="000000"/>
              </w:rPr>
            </w:pP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264F703A">
            <w:pPr>
              <w:widowControl/>
              <w:jc w:val="center"/>
              <w:textAlignment w:val="center"/>
              <w:rPr>
                <w:rFonts w:hint="eastAsia" w:ascii="宋体" w:hAnsi="宋体" w:cs="宋体"/>
                <w:color w:val="000000"/>
              </w:rPr>
            </w:pPr>
            <w:r>
              <w:rPr>
                <w:rFonts w:hint="eastAsia" w:ascii="宋体" w:hAnsi="宋体" w:cs="宋体"/>
                <w:color w:val="000000"/>
              </w:rPr>
              <w:t>保洁1人</w:t>
            </w:r>
          </w:p>
        </w:tc>
      </w:tr>
      <w:tr w14:paraId="7CDBAFD9">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65E6C23A">
            <w:pPr>
              <w:jc w:val="center"/>
              <w:rPr>
                <w:rFonts w:ascii="宋体" w:hAnsi="宋体" w:cs="宋体"/>
                <w:color w:val="000000"/>
              </w:rPr>
            </w:pPr>
          </w:p>
        </w:tc>
        <w:tc>
          <w:tcPr>
            <w:tcW w:w="900" w:type="dxa"/>
            <w:vMerge w:val="restart"/>
            <w:tcBorders>
              <w:top w:val="single" w:color="000000" w:sz="4" w:space="0"/>
              <w:left w:val="single" w:color="000000" w:sz="4" w:space="0"/>
              <w:right w:val="single" w:color="000000" w:sz="4" w:space="0"/>
            </w:tcBorders>
            <w:noWrap/>
            <w:vAlign w:val="center"/>
          </w:tcPr>
          <w:p w14:paraId="020E3131">
            <w:pPr>
              <w:widowControl/>
              <w:jc w:val="center"/>
              <w:textAlignment w:val="center"/>
              <w:rPr>
                <w:rFonts w:ascii="宋体" w:hAnsi="宋体" w:cs="宋体"/>
                <w:color w:val="000000"/>
              </w:rPr>
            </w:pPr>
            <w:r>
              <w:rPr>
                <w:rFonts w:hint="eastAsia" w:ascii="宋体" w:hAnsi="宋体" w:cs="宋体"/>
                <w:color w:val="000000"/>
              </w:rPr>
              <w:t>3F</w:t>
            </w: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74E50462">
            <w:pPr>
              <w:widowControl/>
              <w:jc w:val="center"/>
              <w:textAlignment w:val="center"/>
              <w:rPr>
                <w:rFonts w:hint="eastAsia" w:ascii="宋体" w:hAnsi="宋体" w:cs="宋体"/>
                <w:color w:val="000000"/>
                <w:lang w:val="en-US" w:eastAsia="zh-CN"/>
              </w:rPr>
            </w:pPr>
            <w:r>
              <w:rPr>
                <w:rFonts w:hint="eastAsia" w:ascii="宋体" w:hAnsi="宋体" w:cs="宋体"/>
                <w:color w:val="000000"/>
                <w:lang w:val="en-US" w:eastAsia="zh-CN"/>
              </w:rPr>
              <w:t>胃镜室</w:t>
            </w:r>
          </w:p>
        </w:tc>
        <w:tc>
          <w:tcPr>
            <w:tcW w:w="953" w:type="dxa"/>
            <w:vMerge w:val="restart"/>
            <w:tcBorders>
              <w:left w:val="single" w:color="000000" w:sz="4" w:space="0"/>
              <w:right w:val="single" w:color="000000" w:sz="4" w:space="0"/>
            </w:tcBorders>
            <w:noWrap/>
            <w:vAlign w:val="center"/>
          </w:tcPr>
          <w:p w14:paraId="5D296A1A">
            <w:pPr>
              <w:widowControl/>
              <w:spacing w:line="240" w:lineRule="auto"/>
              <w:jc w:val="center"/>
              <w:textAlignment w:val="center"/>
              <w:rPr>
                <w:rFonts w:ascii="宋体" w:hAnsi="宋体" w:cs="宋体"/>
                <w:color w:val="000000"/>
              </w:rPr>
            </w:pPr>
            <w:r>
              <w:rPr>
                <w:rFonts w:hint="eastAsia" w:ascii="宋体" w:hAnsi="宋体" w:cs="宋体"/>
                <w:color w:val="000000"/>
                <w:lang w:val="en-US" w:eastAsia="zh-CN"/>
              </w:rPr>
              <w:t>4</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2D6C6C1C">
            <w:pPr>
              <w:widowControl/>
              <w:jc w:val="center"/>
              <w:textAlignment w:val="center"/>
              <w:rPr>
                <w:rFonts w:hint="eastAsia" w:ascii="宋体" w:hAnsi="宋体" w:cs="宋体"/>
                <w:color w:val="000000"/>
              </w:rPr>
            </w:pPr>
            <w:r>
              <w:rPr>
                <w:rFonts w:hint="eastAsia" w:ascii="宋体" w:hAnsi="宋体" w:cs="宋体"/>
                <w:color w:val="000000"/>
              </w:rPr>
              <w:t>保洁</w:t>
            </w:r>
            <w:r>
              <w:rPr>
                <w:rFonts w:hint="eastAsia" w:ascii="宋体" w:hAnsi="宋体" w:cs="宋体"/>
                <w:color w:val="000000"/>
                <w:lang w:val="en-US" w:eastAsia="zh-CN"/>
              </w:rPr>
              <w:t>2</w:t>
            </w:r>
            <w:r>
              <w:rPr>
                <w:rFonts w:hint="eastAsia" w:ascii="宋体" w:hAnsi="宋体" w:cs="宋体"/>
                <w:color w:val="000000"/>
              </w:rPr>
              <w:t>人</w:t>
            </w:r>
          </w:p>
        </w:tc>
      </w:tr>
      <w:tr w14:paraId="44888947">
        <w:tblPrEx>
          <w:tblCellMar>
            <w:top w:w="0" w:type="dxa"/>
            <w:left w:w="108" w:type="dxa"/>
            <w:bottom w:w="0" w:type="dxa"/>
            <w:right w:w="108" w:type="dxa"/>
          </w:tblCellMar>
        </w:tblPrEx>
        <w:trPr>
          <w:trHeight w:val="624" w:hRule="atLeast"/>
        </w:trPr>
        <w:tc>
          <w:tcPr>
            <w:tcW w:w="1395" w:type="dxa"/>
            <w:vMerge w:val="continue"/>
            <w:tcBorders>
              <w:left w:val="single" w:color="000000" w:sz="4" w:space="0"/>
              <w:bottom w:val="single" w:color="000000" w:sz="4" w:space="0"/>
              <w:right w:val="single" w:color="000000" w:sz="4" w:space="0"/>
            </w:tcBorders>
            <w:noWrap/>
            <w:vAlign w:val="center"/>
          </w:tcPr>
          <w:p w14:paraId="6397D809">
            <w:pPr>
              <w:widowControl/>
              <w:jc w:val="center"/>
              <w:textAlignment w:val="center"/>
            </w:pPr>
          </w:p>
        </w:tc>
        <w:tc>
          <w:tcPr>
            <w:tcW w:w="900" w:type="dxa"/>
            <w:vMerge w:val="continue"/>
            <w:tcBorders>
              <w:left w:val="single" w:color="000000" w:sz="4" w:space="0"/>
              <w:right w:val="single" w:color="000000" w:sz="4" w:space="0"/>
            </w:tcBorders>
            <w:noWrap/>
            <w:vAlign w:val="center"/>
          </w:tcPr>
          <w:p w14:paraId="4898FD88">
            <w:pPr>
              <w:widowControl/>
              <w:jc w:val="center"/>
              <w:textAlignment w:val="center"/>
            </w:pPr>
          </w:p>
        </w:tc>
        <w:tc>
          <w:tcPr>
            <w:tcW w:w="3005" w:type="dxa"/>
            <w:gridSpan w:val="2"/>
            <w:tcBorders>
              <w:top w:val="single" w:color="000000" w:sz="4" w:space="0"/>
              <w:left w:val="single" w:color="000000" w:sz="4" w:space="0"/>
              <w:right w:val="single" w:color="000000" w:sz="4" w:space="0"/>
            </w:tcBorders>
            <w:noWrap/>
            <w:vAlign w:val="center"/>
          </w:tcPr>
          <w:p w14:paraId="2B5A7CFB">
            <w:pPr>
              <w:widowControl/>
              <w:jc w:val="center"/>
              <w:textAlignment w:val="center"/>
              <w:rPr>
                <w:rFonts w:hint="eastAsia" w:eastAsia="宋体"/>
                <w:lang w:val="en-US" w:eastAsia="zh-CN"/>
              </w:rPr>
            </w:pPr>
            <w:r>
              <w:rPr>
                <w:rFonts w:hint="eastAsia"/>
                <w:lang w:val="en-US" w:eastAsia="zh-CN"/>
              </w:rPr>
              <w:t>内科</w:t>
            </w:r>
          </w:p>
        </w:tc>
        <w:tc>
          <w:tcPr>
            <w:tcW w:w="953" w:type="dxa"/>
            <w:vMerge w:val="continue"/>
            <w:tcBorders>
              <w:left w:val="single" w:color="000000" w:sz="4" w:space="0"/>
              <w:right w:val="single" w:color="000000" w:sz="4" w:space="0"/>
            </w:tcBorders>
            <w:noWrap/>
            <w:vAlign w:val="center"/>
          </w:tcPr>
          <w:p w14:paraId="0CDAAFA8">
            <w:pPr>
              <w:widowControl/>
              <w:spacing w:line="240" w:lineRule="auto"/>
              <w:jc w:val="center"/>
              <w:textAlignment w:val="center"/>
            </w:pPr>
          </w:p>
        </w:tc>
        <w:tc>
          <w:tcPr>
            <w:tcW w:w="2537" w:type="dxa"/>
            <w:tcBorders>
              <w:left w:val="single" w:color="000000" w:sz="4" w:space="0"/>
              <w:bottom w:val="single" w:color="000000" w:sz="4" w:space="0"/>
              <w:right w:val="single" w:color="000000" w:sz="4" w:space="0"/>
            </w:tcBorders>
            <w:noWrap/>
            <w:vAlign w:val="center"/>
          </w:tcPr>
          <w:p w14:paraId="6CCCC3F6">
            <w:pPr>
              <w:widowControl/>
              <w:jc w:val="center"/>
              <w:textAlignment w:val="center"/>
              <w:rPr>
                <w:rFonts w:hint="eastAsia"/>
                <w:lang w:val="en-US" w:eastAsia="zh-CN"/>
              </w:rPr>
            </w:pPr>
            <w:r>
              <w:rPr>
                <w:rFonts w:hint="eastAsia"/>
                <w:lang w:val="en-US" w:eastAsia="zh-CN"/>
              </w:rPr>
              <w:t>保洁1人</w:t>
            </w:r>
          </w:p>
        </w:tc>
      </w:tr>
      <w:tr w14:paraId="145EB0D0">
        <w:tblPrEx>
          <w:tblCellMar>
            <w:top w:w="0" w:type="dxa"/>
            <w:left w:w="108" w:type="dxa"/>
            <w:bottom w:w="0" w:type="dxa"/>
            <w:right w:w="108" w:type="dxa"/>
          </w:tblCellMar>
        </w:tblPrEx>
        <w:trPr>
          <w:trHeight w:val="624" w:hRule="atLeast"/>
        </w:trPr>
        <w:tc>
          <w:tcPr>
            <w:tcW w:w="1395" w:type="dxa"/>
            <w:vMerge w:val="continue"/>
            <w:tcBorders>
              <w:left w:val="single" w:color="000000" w:sz="4" w:space="0"/>
              <w:bottom w:val="single" w:color="000000" w:sz="4" w:space="0"/>
              <w:right w:val="single" w:color="000000" w:sz="4" w:space="0"/>
            </w:tcBorders>
            <w:noWrap/>
            <w:vAlign w:val="center"/>
          </w:tcPr>
          <w:p w14:paraId="73DF5FC0">
            <w:pPr>
              <w:widowControl/>
              <w:jc w:val="center"/>
              <w:textAlignment w:val="center"/>
            </w:pPr>
          </w:p>
        </w:tc>
        <w:tc>
          <w:tcPr>
            <w:tcW w:w="900" w:type="dxa"/>
            <w:vMerge w:val="continue"/>
            <w:tcBorders>
              <w:left w:val="single" w:color="000000" w:sz="4" w:space="0"/>
              <w:bottom w:val="single" w:color="000000" w:sz="4" w:space="0"/>
              <w:right w:val="single" w:color="000000" w:sz="4" w:space="0"/>
            </w:tcBorders>
            <w:noWrap/>
            <w:vAlign w:val="center"/>
          </w:tcPr>
          <w:p w14:paraId="757D3968">
            <w:pPr>
              <w:widowControl/>
              <w:jc w:val="center"/>
              <w:textAlignment w:val="center"/>
            </w:pPr>
          </w:p>
        </w:tc>
        <w:tc>
          <w:tcPr>
            <w:tcW w:w="3005" w:type="dxa"/>
            <w:gridSpan w:val="2"/>
            <w:tcBorders>
              <w:top w:val="single" w:color="000000" w:sz="4" w:space="0"/>
              <w:left w:val="single" w:color="000000" w:sz="4" w:space="0"/>
              <w:right w:val="single" w:color="000000" w:sz="4" w:space="0"/>
            </w:tcBorders>
            <w:noWrap/>
            <w:vAlign w:val="center"/>
          </w:tcPr>
          <w:p w14:paraId="35368C2A">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儿科、口腔科、五官科</w:t>
            </w:r>
          </w:p>
        </w:tc>
        <w:tc>
          <w:tcPr>
            <w:tcW w:w="953" w:type="dxa"/>
            <w:vMerge w:val="continue"/>
            <w:tcBorders>
              <w:left w:val="single" w:color="000000" w:sz="4" w:space="0"/>
              <w:right w:val="single" w:color="000000" w:sz="4" w:space="0"/>
            </w:tcBorders>
            <w:noWrap/>
            <w:vAlign w:val="center"/>
          </w:tcPr>
          <w:p w14:paraId="3FDEE293">
            <w:pPr>
              <w:widowControl/>
              <w:spacing w:line="240" w:lineRule="auto"/>
              <w:jc w:val="center"/>
              <w:textAlignment w:val="center"/>
              <w:rPr>
                <w:rFonts w:hint="eastAsia" w:ascii="宋体" w:hAnsi="宋体" w:cs="宋体"/>
                <w:color w:val="000000"/>
              </w:rPr>
            </w:pP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1D56025B">
            <w:pPr>
              <w:widowControl/>
              <w:jc w:val="center"/>
              <w:textAlignment w:val="center"/>
              <w:rPr>
                <w:rFonts w:hint="eastAsia" w:ascii="宋体" w:hAnsi="宋体" w:cs="宋体"/>
                <w:color w:val="000000"/>
              </w:rPr>
            </w:pPr>
            <w:r>
              <w:rPr>
                <w:rFonts w:hint="eastAsia" w:ascii="宋体" w:hAnsi="宋体" w:cs="宋体"/>
                <w:color w:val="000000"/>
              </w:rPr>
              <w:t>保洁1人</w:t>
            </w:r>
          </w:p>
        </w:tc>
      </w:tr>
      <w:tr w14:paraId="63CBFDF3">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370A825B">
            <w:pPr>
              <w:jc w:val="center"/>
              <w:rPr>
                <w:rFonts w:ascii="宋体" w:hAnsi="宋体" w:cs="宋体"/>
                <w:color w:val="000000"/>
              </w:rPr>
            </w:pPr>
          </w:p>
        </w:tc>
        <w:tc>
          <w:tcPr>
            <w:tcW w:w="900" w:type="dxa"/>
            <w:vMerge w:val="restart"/>
            <w:tcBorders>
              <w:top w:val="single" w:color="000000" w:sz="4" w:space="0"/>
              <w:left w:val="single" w:color="000000" w:sz="4" w:space="0"/>
              <w:bottom w:val="single" w:color="000000" w:sz="4" w:space="0"/>
              <w:right w:val="single" w:color="000000" w:sz="4" w:space="0"/>
            </w:tcBorders>
            <w:noWrap/>
            <w:vAlign w:val="center"/>
          </w:tcPr>
          <w:p w14:paraId="106FC5B3">
            <w:pPr>
              <w:widowControl/>
              <w:jc w:val="center"/>
              <w:textAlignment w:val="center"/>
              <w:rPr>
                <w:rFonts w:ascii="宋体" w:hAnsi="宋体" w:cs="宋体"/>
                <w:color w:val="000000"/>
              </w:rPr>
            </w:pPr>
            <w:r>
              <w:rPr>
                <w:rFonts w:hint="eastAsia" w:ascii="宋体" w:hAnsi="宋体" w:cs="宋体"/>
                <w:color w:val="000000"/>
              </w:rPr>
              <w:t>2F</w:t>
            </w:r>
          </w:p>
        </w:tc>
        <w:tc>
          <w:tcPr>
            <w:tcW w:w="3005" w:type="dxa"/>
            <w:gridSpan w:val="2"/>
            <w:tcBorders>
              <w:top w:val="single" w:color="000000" w:sz="4" w:space="0"/>
              <w:left w:val="single" w:color="000000" w:sz="4" w:space="0"/>
              <w:right w:val="single" w:color="000000" w:sz="4" w:space="0"/>
            </w:tcBorders>
            <w:noWrap/>
            <w:vAlign w:val="center"/>
          </w:tcPr>
          <w:p w14:paraId="7E6D4F42">
            <w:pPr>
              <w:widowControl/>
              <w:jc w:val="center"/>
              <w:textAlignment w:val="center"/>
              <w:rPr>
                <w:rFonts w:hint="eastAsia" w:ascii="宋体" w:hAnsi="宋体" w:cs="宋体"/>
                <w:color w:val="000000"/>
                <w:lang w:val="en-US" w:eastAsia="zh-CN"/>
              </w:rPr>
            </w:pPr>
            <w:r>
              <w:rPr>
                <w:rFonts w:hint="eastAsia" w:ascii="宋体" w:hAnsi="宋体" w:cs="宋体"/>
                <w:color w:val="000000"/>
                <w:lang w:val="en-US" w:eastAsia="zh-CN"/>
              </w:rPr>
              <w:t>外科</w:t>
            </w:r>
          </w:p>
          <w:p w14:paraId="10905494">
            <w:pPr>
              <w:widowControl/>
              <w:jc w:val="center"/>
              <w:textAlignment w:val="center"/>
              <w:rPr>
                <w:rFonts w:ascii="宋体" w:hAnsi="宋体" w:cs="宋体"/>
                <w:color w:val="000000"/>
              </w:rPr>
            </w:pPr>
            <w:r>
              <w:rPr>
                <w:rFonts w:hint="eastAsia" w:ascii="宋体" w:hAnsi="宋体" w:cs="宋体"/>
                <w:color w:val="000000"/>
              </w:rPr>
              <w:t>B超室 、心电图室</w:t>
            </w:r>
          </w:p>
        </w:tc>
        <w:tc>
          <w:tcPr>
            <w:tcW w:w="953" w:type="dxa"/>
            <w:vMerge w:val="restart"/>
            <w:tcBorders>
              <w:top w:val="single" w:color="000000" w:sz="4" w:space="0"/>
              <w:left w:val="single" w:color="000000" w:sz="4" w:space="0"/>
              <w:right w:val="single" w:color="000000" w:sz="4" w:space="0"/>
            </w:tcBorders>
            <w:noWrap/>
            <w:vAlign w:val="center"/>
          </w:tcPr>
          <w:p w14:paraId="0748D6D6">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71951440">
            <w:pPr>
              <w:widowControl/>
              <w:jc w:val="center"/>
              <w:textAlignment w:val="center"/>
              <w:rPr>
                <w:rFonts w:hint="eastAsia" w:ascii="宋体" w:hAnsi="宋体" w:cs="宋体"/>
                <w:color w:val="000000"/>
              </w:rPr>
            </w:pPr>
            <w:r>
              <w:rPr>
                <w:rFonts w:hint="eastAsia" w:ascii="宋体" w:hAnsi="宋体" w:cs="宋体"/>
                <w:color w:val="000000"/>
              </w:rPr>
              <w:t>保洁1人</w:t>
            </w:r>
          </w:p>
        </w:tc>
      </w:tr>
      <w:tr w14:paraId="4335DAE2">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2A81ED37">
            <w:pPr>
              <w:jc w:val="center"/>
              <w:rPr>
                <w:rFonts w:ascii="宋体" w:hAnsi="宋体" w:cs="宋体"/>
                <w:color w:val="000000"/>
              </w:rPr>
            </w:pPr>
          </w:p>
        </w:tc>
        <w:tc>
          <w:tcPr>
            <w:tcW w:w="900" w:type="dxa"/>
            <w:vMerge w:val="continue"/>
            <w:tcBorders>
              <w:top w:val="single" w:color="000000" w:sz="4" w:space="0"/>
              <w:left w:val="single" w:color="000000" w:sz="4" w:space="0"/>
              <w:bottom w:val="single" w:color="000000" w:sz="4" w:space="0"/>
              <w:right w:val="single" w:color="000000" w:sz="4" w:space="0"/>
            </w:tcBorders>
            <w:noWrap/>
            <w:vAlign w:val="center"/>
          </w:tcPr>
          <w:p w14:paraId="2A75D1D9">
            <w:pPr>
              <w:jc w:val="center"/>
              <w:rPr>
                <w:rFonts w:ascii="宋体" w:hAnsi="宋体" w:cs="宋体"/>
                <w:color w:val="000000"/>
              </w:rPr>
            </w:pPr>
          </w:p>
        </w:tc>
        <w:tc>
          <w:tcPr>
            <w:tcW w:w="3005" w:type="dxa"/>
            <w:gridSpan w:val="2"/>
            <w:tcBorders>
              <w:top w:val="single" w:color="000000" w:sz="4" w:space="0"/>
              <w:left w:val="single" w:color="000000" w:sz="4" w:space="0"/>
              <w:right w:val="single" w:color="000000" w:sz="4" w:space="0"/>
            </w:tcBorders>
            <w:noWrap/>
            <w:vAlign w:val="center"/>
          </w:tcPr>
          <w:p w14:paraId="53C875D9">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检验科</w:t>
            </w:r>
          </w:p>
        </w:tc>
        <w:tc>
          <w:tcPr>
            <w:tcW w:w="953" w:type="dxa"/>
            <w:vMerge w:val="continue"/>
            <w:tcBorders>
              <w:left w:val="single" w:color="000000" w:sz="4" w:space="0"/>
              <w:right w:val="single" w:color="000000" w:sz="4" w:space="0"/>
            </w:tcBorders>
            <w:noWrap/>
            <w:vAlign w:val="center"/>
          </w:tcPr>
          <w:p w14:paraId="6A551B0E">
            <w:pPr>
              <w:widowControl/>
              <w:spacing w:line="240" w:lineRule="auto"/>
              <w:jc w:val="center"/>
              <w:textAlignment w:val="center"/>
              <w:rPr>
                <w:rFonts w:ascii="宋体" w:hAnsi="宋体" w:cs="宋体"/>
                <w:color w:val="000000"/>
              </w:rPr>
            </w:pPr>
          </w:p>
        </w:tc>
        <w:tc>
          <w:tcPr>
            <w:tcW w:w="2537" w:type="dxa"/>
            <w:tcBorders>
              <w:top w:val="single" w:color="000000" w:sz="4" w:space="0"/>
              <w:left w:val="single" w:color="000000" w:sz="4" w:space="0"/>
              <w:right w:val="single" w:color="000000" w:sz="4" w:space="0"/>
            </w:tcBorders>
            <w:noWrap/>
            <w:vAlign w:val="center"/>
          </w:tcPr>
          <w:p w14:paraId="73AA2FEF">
            <w:pPr>
              <w:widowControl/>
              <w:jc w:val="center"/>
              <w:textAlignment w:val="center"/>
              <w:rPr>
                <w:rFonts w:hint="eastAsia" w:ascii="宋体" w:hAnsi="宋体" w:cs="宋体"/>
                <w:color w:val="000000"/>
              </w:rPr>
            </w:pPr>
            <w:r>
              <w:rPr>
                <w:rFonts w:hint="eastAsia" w:ascii="宋体" w:hAnsi="宋体" w:cs="宋体"/>
                <w:color w:val="000000"/>
              </w:rPr>
              <w:t>保洁1人</w:t>
            </w:r>
          </w:p>
        </w:tc>
      </w:tr>
      <w:tr w14:paraId="464C8094">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1B4DB1CA">
            <w:pPr>
              <w:jc w:val="center"/>
              <w:rPr>
                <w:rFonts w:ascii="宋体" w:hAnsi="宋体" w:cs="宋体"/>
                <w:color w:val="000000"/>
              </w:rPr>
            </w:pPr>
          </w:p>
        </w:tc>
        <w:tc>
          <w:tcPr>
            <w:tcW w:w="900" w:type="dxa"/>
            <w:vMerge w:val="restart"/>
            <w:tcBorders>
              <w:top w:val="single" w:color="000000" w:sz="4" w:space="0"/>
              <w:left w:val="single" w:color="000000" w:sz="4" w:space="0"/>
              <w:bottom w:val="single" w:color="000000" w:sz="4" w:space="0"/>
              <w:right w:val="single" w:color="000000" w:sz="4" w:space="0"/>
            </w:tcBorders>
            <w:noWrap/>
            <w:vAlign w:val="center"/>
          </w:tcPr>
          <w:p w14:paraId="6F8AD0A8">
            <w:pPr>
              <w:widowControl/>
              <w:jc w:val="center"/>
              <w:textAlignment w:val="center"/>
              <w:rPr>
                <w:rFonts w:ascii="宋体" w:hAnsi="宋体" w:cs="宋体"/>
                <w:color w:val="000000"/>
              </w:rPr>
            </w:pPr>
            <w:r>
              <w:rPr>
                <w:rFonts w:hint="eastAsia" w:ascii="宋体" w:hAnsi="宋体" w:cs="宋体"/>
                <w:color w:val="000000"/>
              </w:rPr>
              <w:t>1F</w:t>
            </w: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57D43A65">
            <w:pPr>
              <w:widowControl/>
              <w:jc w:val="center"/>
              <w:textAlignment w:val="center"/>
              <w:rPr>
                <w:rFonts w:ascii="宋体" w:hAnsi="宋体" w:cs="宋体"/>
                <w:color w:val="000000"/>
              </w:rPr>
            </w:pPr>
            <w:r>
              <w:rPr>
                <w:rFonts w:hint="eastAsia" w:ascii="宋体" w:hAnsi="宋体" w:cs="宋体"/>
                <w:color w:val="000000"/>
              </w:rPr>
              <w:t>急诊科室、输液室</w:t>
            </w:r>
          </w:p>
        </w:tc>
        <w:tc>
          <w:tcPr>
            <w:tcW w:w="953" w:type="dxa"/>
            <w:vMerge w:val="restart"/>
            <w:tcBorders>
              <w:top w:val="single" w:color="000000" w:sz="4" w:space="0"/>
              <w:left w:val="single" w:color="000000" w:sz="4" w:space="0"/>
              <w:right w:val="single" w:color="000000" w:sz="4" w:space="0"/>
            </w:tcBorders>
            <w:noWrap/>
            <w:vAlign w:val="center"/>
          </w:tcPr>
          <w:p w14:paraId="64F9808D">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4</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144476DF">
            <w:pPr>
              <w:widowControl/>
              <w:jc w:val="center"/>
              <w:textAlignment w:val="center"/>
              <w:rPr>
                <w:rFonts w:hint="eastAsia" w:ascii="宋体" w:hAnsi="宋体" w:cs="宋体"/>
                <w:color w:val="000000"/>
              </w:rPr>
            </w:pPr>
            <w:r>
              <w:rPr>
                <w:rFonts w:hint="eastAsia" w:ascii="宋体" w:hAnsi="宋体" w:cs="宋体"/>
                <w:color w:val="000000"/>
              </w:rPr>
              <w:t>保洁</w:t>
            </w:r>
            <w:r>
              <w:rPr>
                <w:rFonts w:hint="eastAsia" w:ascii="宋体" w:hAnsi="宋体" w:cs="宋体"/>
                <w:color w:val="000000"/>
                <w:lang w:val="en-US" w:eastAsia="zh-CN"/>
              </w:rPr>
              <w:t>2</w:t>
            </w:r>
            <w:r>
              <w:rPr>
                <w:rFonts w:hint="eastAsia" w:ascii="宋体" w:hAnsi="宋体" w:cs="宋体"/>
                <w:color w:val="000000"/>
              </w:rPr>
              <w:t>人</w:t>
            </w:r>
          </w:p>
        </w:tc>
      </w:tr>
      <w:tr w14:paraId="6E6E0FEC">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6C074D32">
            <w:pPr>
              <w:jc w:val="center"/>
              <w:rPr>
                <w:rFonts w:ascii="宋体" w:hAnsi="宋体" w:cs="宋体"/>
                <w:color w:val="000000"/>
              </w:rPr>
            </w:pPr>
          </w:p>
        </w:tc>
        <w:tc>
          <w:tcPr>
            <w:tcW w:w="900" w:type="dxa"/>
            <w:vMerge w:val="continue"/>
            <w:tcBorders>
              <w:top w:val="single" w:color="000000" w:sz="4" w:space="0"/>
              <w:left w:val="single" w:color="000000" w:sz="4" w:space="0"/>
              <w:bottom w:val="single" w:color="000000" w:sz="4" w:space="0"/>
              <w:right w:val="single" w:color="000000" w:sz="4" w:space="0"/>
            </w:tcBorders>
            <w:noWrap/>
            <w:vAlign w:val="center"/>
          </w:tcPr>
          <w:p w14:paraId="33846885">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0C53BF5F">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中药房</w:t>
            </w:r>
          </w:p>
        </w:tc>
        <w:tc>
          <w:tcPr>
            <w:tcW w:w="953" w:type="dxa"/>
            <w:vMerge w:val="continue"/>
            <w:tcBorders>
              <w:left w:val="single" w:color="000000" w:sz="4" w:space="0"/>
              <w:right w:val="single" w:color="000000" w:sz="4" w:space="0"/>
            </w:tcBorders>
            <w:noWrap/>
            <w:vAlign w:val="center"/>
          </w:tcPr>
          <w:p w14:paraId="0FCEFAF7">
            <w:pPr>
              <w:widowControl/>
              <w:spacing w:line="240" w:lineRule="auto"/>
              <w:jc w:val="center"/>
              <w:textAlignment w:val="center"/>
              <w:rPr>
                <w:rFonts w:hint="eastAsia" w:ascii="宋体" w:hAnsi="宋体" w:eastAsia="宋体" w:cs="宋体"/>
                <w:color w:val="000000"/>
                <w:lang w:eastAsia="zh-CN"/>
              </w:rPr>
            </w:pP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47BEF6FF">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中药房1人（新增）</w:t>
            </w:r>
          </w:p>
        </w:tc>
      </w:tr>
      <w:tr w14:paraId="58626AFF">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6119C442">
            <w:pPr>
              <w:jc w:val="center"/>
              <w:rPr>
                <w:rFonts w:ascii="宋体" w:hAnsi="宋体" w:cs="宋体"/>
                <w:color w:val="000000"/>
              </w:rPr>
            </w:pPr>
          </w:p>
        </w:tc>
        <w:tc>
          <w:tcPr>
            <w:tcW w:w="900" w:type="dxa"/>
            <w:vMerge w:val="continue"/>
            <w:tcBorders>
              <w:top w:val="single" w:color="000000" w:sz="4" w:space="0"/>
              <w:left w:val="single" w:color="000000" w:sz="4" w:space="0"/>
              <w:bottom w:val="single" w:color="000000" w:sz="4" w:space="0"/>
              <w:right w:val="single" w:color="000000" w:sz="4" w:space="0"/>
            </w:tcBorders>
            <w:noWrap/>
            <w:vAlign w:val="center"/>
          </w:tcPr>
          <w:p w14:paraId="3C5533B7">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46D5D504">
            <w:pPr>
              <w:widowControl/>
              <w:jc w:val="center"/>
              <w:textAlignment w:val="center"/>
              <w:rPr>
                <w:rFonts w:ascii="宋体" w:hAnsi="宋体" w:cs="宋体"/>
                <w:color w:val="000000"/>
              </w:rPr>
            </w:pPr>
            <w:r>
              <w:rPr>
                <w:rFonts w:hint="eastAsia" w:ascii="宋体" w:hAnsi="宋体" w:cs="宋体"/>
                <w:color w:val="000000"/>
              </w:rPr>
              <w:t>挂号收费处 、药房、大厅</w:t>
            </w:r>
          </w:p>
        </w:tc>
        <w:tc>
          <w:tcPr>
            <w:tcW w:w="953" w:type="dxa"/>
            <w:vMerge w:val="continue"/>
            <w:tcBorders>
              <w:left w:val="single" w:color="000000" w:sz="4" w:space="0"/>
              <w:bottom w:val="single" w:color="000000" w:sz="4" w:space="0"/>
              <w:right w:val="single" w:color="000000" w:sz="4" w:space="0"/>
            </w:tcBorders>
            <w:noWrap/>
            <w:vAlign w:val="center"/>
          </w:tcPr>
          <w:p w14:paraId="02AA03F3">
            <w:pPr>
              <w:widowControl/>
              <w:spacing w:line="240" w:lineRule="auto"/>
              <w:jc w:val="center"/>
              <w:textAlignment w:val="center"/>
              <w:rPr>
                <w:rFonts w:ascii="宋体" w:hAnsi="宋体" w:cs="宋体"/>
                <w:color w:val="000000"/>
              </w:rPr>
            </w:pP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719B3F50">
            <w:pPr>
              <w:widowControl/>
              <w:jc w:val="center"/>
              <w:textAlignment w:val="center"/>
              <w:rPr>
                <w:rFonts w:hint="eastAsia" w:ascii="宋体" w:hAnsi="宋体" w:cs="宋体"/>
                <w:color w:val="000000"/>
              </w:rPr>
            </w:pPr>
            <w:r>
              <w:rPr>
                <w:rFonts w:hint="eastAsia" w:ascii="宋体" w:hAnsi="宋体" w:cs="宋体"/>
                <w:color w:val="000000"/>
              </w:rPr>
              <w:t>保洁</w:t>
            </w:r>
            <w:r>
              <w:rPr>
                <w:rFonts w:hint="eastAsia" w:ascii="宋体" w:hAnsi="宋体" w:cs="宋体"/>
                <w:color w:val="000000"/>
                <w:lang w:val="en-US" w:eastAsia="zh-CN"/>
              </w:rPr>
              <w:t>1</w:t>
            </w:r>
            <w:r>
              <w:rPr>
                <w:rFonts w:hint="eastAsia" w:ascii="宋体" w:hAnsi="宋体" w:cs="宋体"/>
                <w:color w:val="000000"/>
              </w:rPr>
              <w:t>人</w:t>
            </w:r>
          </w:p>
        </w:tc>
      </w:tr>
      <w:tr w14:paraId="42AF3667">
        <w:tblPrEx>
          <w:tblCellMar>
            <w:top w:w="0" w:type="dxa"/>
            <w:left w:w="108" w:type="dxa"/>
            <w:bottom w:w="0" w:type="dxa"/>
            <w:right w:w="108" w:type="dxa"/>
          </w:tblCellMar>
        </w:tblPrEx>
        <w:trPr>
          <w:trHeight w:val="624" w:hRule="atLeast"/>
        </w:trPr>
        <w:tc>
          <w:tcPr>
            <w:tcW w:w="1395" w:type="dxa"/>
            <w:vMerge w:val="restart"/>
            <w:tcBorders>
              <w:top w:val="single" w:color="000000" w:sz="4" w:space="0"/>
              <w:left w:val="single" w:color="000000" w:sz="4" w:space="0"/>
              <w:bottom w:val="single" w:color="000000" w:sz="4" w:space="0"/>
              <w:right w:val="single" w:color="000000" w:sz="4" w:space="0"/>
            </w:tcBorders>
            <w:noWrap/>
            <w:vAlign w:val="center"/>
          </w:tcPr>
          <w:p w14:paraId="49303E2C">
            <w:pPr>
              <w:widowControl/>
              <w:jc w:val="center"/>
              <w:textAlignment w:val="center"/>
              <w:rPr>
                <w:rFonts w:hint="eastAsia" w:ascii="宋体" w:hAnsi="宋体" w:cs="宋体"/>
                <w:color w:val="000000"/>
              </w:rPr>
            </w:pPr>
            <w:r>
              <w:rPr>
                <w:rFonts w:hint="eastAsia" w:ascii="宋体" w:hAnsi="宋体" w:cs="宋体"/>
                <w:color w:val="000000"/>
              </w:rPr>
              <w:t>公共区域</w:t>
            </w:r>
          </w:p>
          <w:p w14:paraId="6CE60559">
            <w:pPr>
              <w:widowControl/>
              <w:jc w:val="center"/>
              <w:textAlignment w:val="center"/>
              <w:rPr>
                <w:rFonts w:ascii="宋体" w:hAnsi="宋体" w:cs="宋体"/>
                <w:color w:val="000000"/>
              </w:rPr>
            </w:pPr>
            <w:r>
              <w:rPr>
                <w:rFonts w:hint="eastAsia" w:ascii="宋体" w:hAnsi="宋体" w:cs="宋体"/>
                <w:color w:val="000000"/>
                <w:lang w:val="en-US" w:eastAsia="zh-CN"/>
              </w:rPr>
              <w:t>8</w:t>
            </w:r>
            <w:r>
              <w:rPr>
                <w:rFonts w:hint="eastAsia" w:ascii="宋体" w:hAnsi="宋体" w:cs="宋体"/>
                <w:color w:val="000000"/>
              </w:rPr>
              <w:t>人</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638C56B">
            <w:pPr>
              <w:widowControl/>
              <w:jc w:val="center"/>
              <w:textAlignment w:val="center"/>
              <w:rPr>
                <w:rFonts w:ascii="宋体" w:hAnsi="宋体" w:cs="宋体"/>
                <w:color w:val="000000"/>
              </w:rPr>
            </w:pPr>
            <w:r>
              <w:rPr>
                <w:rFonts w:hint="eastAsia" w:ascii="宋体" w:hAnsi="宋体" w:cs="宋体"/>
                <w:color w:val="000000"/>
              </w:rPr>
              <w:t>负1F</w:t>
            </w: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55A3769A">
            <w:pPr>
              <w:widowControl/>
              <w:jc w:val="center"/>
              <w:textAlignment w:val="center"/>
              <w:rPr>
                <w:rFonts w:ascii="宋体" w:hAnsi="宋体" w:cs="宋体"/>
                <w:color w:val="000000"/>
              </w:rPr>
            </w:pPr>
            <w:r>
              <w:rPr>
                <w:rFonts w:hint="eastAsia" w:ascii="宋体" w:hAnsi="宋体" w:cs="宋体"/>
                <w:color w:val="000000"/>
              </w:rPr>
              <w:t>地下停车库</w:t>
            </w:r>
          </w:p>
        </w:tc>
        <w:tc>
          <w:tcPr>
            <w:tcW w:w="953" w:type="dxa"/>
            <w:tcBorders>
              <w:top w:val="single" w:color="000000" w:sz="4" w:space="0"/>
              <w:left w:val="single" w:color="000000" w:sz="4" w:space="0"/>
              <w:bottom w:val="single" w:color="000000" w:sz="4" w:space="0"/>
              <w:right w:val="single" w:color="000000" w:sz="4" w:space="0"/>
            </w:tcBorders>
            <w:noWrap/>
            <w:vAlign w:val="center"/>
          </w:tcPr>
          <w:p w14:paraId="0A2BF5A5">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3AE5A3DD">
            <w:pPr>
              <w:widowControl/>
              <w:jc w:val="center"/>
              <w:textAlignment w:val="center"/>
              <w:rPr>
                <w:rFonts w:hint="eastAsia" w:ascii="宋体" w:hAnsi="宋体" w:cs="宋体"/>
                <w:color w:val="000000"/>
              </w:rPr>
            </w:pPr>
            <w:r>
              <w:rPr>
                <w:rFonts w:hint="eastAsia" w:ascii="宋体" w:hAnsi="宋体" w:cs="宋体"/>
                <w:color w:val="000000"/>
              </w:rPr>
              <w:t>保洁</w:t>
            </w:r>
            <w:r>
              <w:rPr>
                <w:rFonts w:hint="eastAsia" w:ascii="宋体" w:hAnsi="宋体" w:cs="宋体"/>
                <w:color w:val="000000"/>
                <w:lang w:val="en-US" w:eastAsia="zh-CN"/>
              </w:rPr>
              <w:t>1</w:t>
            </w:r>
            <w:r>
              <w:rPr>
                <w:rFonts w:hint="eastAsia" w:ascii="宋体" w:hAnsi="宋体" w:cs="宋体"/>
                <w:color w:val="000000"/>
              </w:rPr>
              <w:t>人</w:t>
            </w:r>
          </w:p>
        </w:tc>
      </w:tr>
      <w:tr w14:paraId="47307122">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07F2FDFF">
            <w:pPr>
              <w:jc w:val="center"/>
              <w:rPr>
                <w:rFonts w:ascii="宋体" w:hAnsi="宋体" w:cs="宋体"/>
                <w:color w:val="000000"/>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7B6F461">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004A37C4">
            <w:pPr>
              <w:widowControl/>
              <w:jc w:val="center"/>
              <w:textAlignment w:val="center"/>
              <w:rPr>
                <w:rFonts w:ascii="宋体" w:hAnsi="宋体" w:cs="宋体"/>
                <w:color w:val="000000"/>
              </w:rPr>
            </w:pPr>
            <w:r>
              <w:rPr>
                <w:rFonts w:hint="eastAsia" w:ascii="宋体" w:hAnsi="宋体" w:cs="宋体"/>
                <w:color w:val="000000"/>
              </w:rPr>
              <w:t>门急诊电梯</w:t>
            </w:r>
          </w:p>
        </w:tc>
        <w:tc>
          <w:tcPr>
            <w:tcW w:w="953" w:type="dxa"/>
            <w:tcBorders>
              <w:top w:val="single" w:color="000000" w:sz="4" w:space="0"/>
              <w:left w:val="single" w:color="000000" w:sz="4" w:space="0"/>
              <w:bottom w:val="single" w:color="000000" w:sz="4" w:space="0"/>
              <w:right w:val="single" w:color="000000" w:sz="4" w:space="0"/>
            </w:tcBorders>
            <w:noWrap/>
            <w:vAlign w:val="center"/>
          </w:tcPr>
          <w:p w14:paraId="7D52B6B9">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71DB34E3">
            <w:pPr>
              <w:widowControl/>
              <w:jc w:val="center"/>
              <w:textAlignment w:val="center"/>
              <w:rPr>
                <w:rFonts w:hint="eastAsia" w:ascii="宋体" w:hAnsi="宋体" w:cs="宋体"/>
                <w:color w:val="000000"/>
              </w:rPr>
            </w:pPr>
            <w:r>
              <w:rPr>
                <w:rFonts w:hint="eastAsia" w:ascii="宋体" w:hAnsi="宋体" w:cs="宋体"/>
                <w:color w:val="000000"/>
              </w:rPr>
              <w:t>电梯操作</w:t>
            </w:r>
            <w:r>
              <w:rPr>
                <w:rFonts w:hint="eastAsia" w:ascii="宋体" w:hAnsi="宋体" w:cs="宋体"/>
                <w:color w:val="000000"/>
                <w:lang w:val="en-US" w:eastAsia="zh-CN"/>
              </w:rPr>
              <w:t>1</w:t>
            </w:r>
            <w:r>
              <w:rPr>
                <w:rFonts w:hint="eastAsia" w:ascii="宋体" w:hAnsi="宋体" w:cs="宋体"/>
                <w:color w:val="000000"/>
              </w:rPr>
              <w:t>人</w:t>
            </w:r>
          </w:p>
        </w:tc>
      </w:tr>
      <w:tr w14:paraId="766379A1">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52B53695">
            <w:pPr>
              <w:jc w:val="center"/>
              <w:rPr>
                <w:rFonts w:ascii="宋体" w:hAnsi="宋体" w:cs="宋体"/>
                <w:color w:val="000000"/>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9F7805C">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1615D742">
            <w:pPr>
              <w:widowControl/>
              <w:jc w:val="center"/>
              <w:textAlignment w:val="center"/>
              <w:rPr>
                <w:rFonts w:ascii="宋体" w:hAnsi="宋体" w:cs="宋体"/>
                <w:color w:val="000000"/>
              </w:rPr>
            </w:pPr>
            <w:r>
              <w:rPr>
                <w:rFonts w:hint="eastAsia" w:ascii="宋体" w:hAnsi="宋体" w:cs="宋体"/>
                <w:color w:val="000000"/>
              </w:rPr>
              <w:t>生活垃圾及医疗垃圾存放处</w:t>
            </w:r>
          </w:p>
        </w:tc>
        <w:tc>
          <w:tcPr>
            <w:tcW w:w="953" w:type="dxa"/>
            <w:tcBorders>
              <w:top w:val="single" w:color="000000" w:sz="4" w:space="0"/>
              <w:left w:val="single" w:color="000000" w:sz="4" w:space="0"/>
              <w:bottom w:val="single" w:color="000000" w:sz="4" w:space="0"/>
              <w:right w:val="single" w:color="000000" w:sz="4" w:space="0"/>
            </w:tcBorders>
            <w:noWrap/>
            <w:vAlign w:val="center"/>
          </w:tcPr>
          <w:p w14:paraId="58AA4C7E">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4</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24507776">
            <w:pPr>
              <w:widowControl/>
              <w:jc w:val="center"/>
              <w:textAlignment w:val="center"/>
              <w:rPr>
                <w:rFonts w:hint="eastAsia" w:ascii="宋体" w:hAnsi="宋体" w:cs="宋体"/>
                <w:color w:val="000000"/>
              </w:rPr>
            </w:pPr>
            <w:r>
              <w:rPr>
                <w:rFonts w:hint="eastAsia" w:ascii="宋体" w:hAnsi="宋体" w:cs="宋体"/>
                <w:color w:val="000000"/>
              </w:rPr>
              <w:t>生活垃圾运送</w:t>
            </w:r>
            <w:r>
              <w:rPr>
                <w:rFonts w:hint="eastAsia" w:ascii="宋体" w:hAnsi="宋体" w:cs="宋体"/>
                <w:color w:val="000000"/>
                <w:lang w:val="en-US" w:eastAsia="zh-CN"/>
              </w:rPr>
              <w:t>2</w:t>
            </w:r>
            <w:r>
              <w:rPr>
                <w:rFonts w:hint="eastAsia" w:ascii="宋体" w:hAnsi="宋体" w:cs="宋体"/>
                <w:color w:val="000000"/>
              </w:rPr>
              <w:t>人、医疗垃圾运送2人</w:t>
            </w:r>
          </w:p>
        </w:tc>
      </w:tr>
      <w:tr w14:paraId="7E19871F">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6205DD51">
            <w:pPr>
              <w:jc w:val="center"/>
              <w:rPr>
                <w:rFonts w:ascii="宋体" w:hAnsi="宋体" w:cs="宋体"/>
                <w:color w:val="000000"/>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34C84F2">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7E864A5E">
            <w:pPr>
              <w:widowControl/>
              <w:jc w:val="center"/>
              <w:textAlignment w:val="center"/>
              <w:rPr>
                <w:rFonts w:ascii="宋体" w:hAnsi="宋体" w:cs="宋体"/>
                <w:color w:val="000000"/>
              </w:rPr>
            </w:pPr>
            <w:r>
              <w:rPr>
                <w:rFonts w:hint="eastAsia" w:ascii="宋体" w:hAnsi="宋体" w:cs="宋体"/>
                <w:color w:val="000000"/>
              </w:rPr>
              <w:t>所有外围</w:t>
            </w:r>
          </w:p>
        </w:tc>
        <w:tc>
          <w:tcPr>
            <w:tcW w:w="953" w:type="dxa"/>
            <w:tcBorders>
              <w:top w:val="single" w:color="000000" w:sz="4" w:space="0"/>
              <w:left w:val="single" w:color="000000" w:sz="4" w:space="0"/>
              <w:bottom w:val="single" w:color="000000" w:sz="4" w:space="0"/>
              <w:right w:val="single" w:color="000000" w:sz="4" w:space="0"/>
            </w:tcBorders>
            <w:noWrap/>
            <w:vAlign w:val="center"/>
          </w:tcPr>
          <w:p w14:paraId="19C89DFB">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667E0338">
            <w:pPr>
              <w:widowControl/>
              <w:jc w:val="center"/>
              <w:textAlignment w:val="center"/>
              <w:rPr>
                <w:rFonts w:hint="eastAsia" w:ascii="宋体" w:hAnsi="宋体" w:cs="宋体"/>
                <w:color w:val="000000"/>
              </w:rPr>
            </w:pPr>
            <w:r>
              <w:rPr>
                <w:rFonts w:hint="eastAsia" w:ascii="宋体" w:hAnsi="宋体" w:cs="宋体"/>
                <w:color w:val="000000"/>
              </w:rPr>
              <w:t>保洁</w:t>
            </w:r>
            <w:r>
              <w:rPr>
                <w:rFonts w:hint="eastAsia" w:ascii="宋体" w:hAnsi="宋体" w:cs="宋体"/>
                <w:color w:val="000000"/>
                <w:lang w:val="en-US" w:eastAsia="zh-CN"/>
              </w:rPr>
              <w:t>2</w:t>
            </w:r>
            <w:r>
              <w:rPr>
                <w:rFonts w:hint="eastAsia" w:ascii="宋体" w:hAnsi="宋体" w:cs="宋体"/>
                <w:color w:val="000000"/>
              </w:rPr>
              <w:t>人</w:t>
            </w:r>
          </w:p>
        </w:tc>
      </w:tr>
      <w:tr w14:paraId="7F80A5E1">
        <w:tblPrEx>
          <w:tblCellMar>
            <w:top w:w="0" w:type="dxa"/>
            <w:left w:w="108" w:type="dxa"/>
            <w:bottom w:w="0" w:type="dxa"/>
            <w:right w:w="108" w:type="dxa"/>
          </w:tblCellMar>
        </w:tblPrEx>
        <w:trPr>
          <w:trHeight w:val="624" w:hRule="atLeast"/>
        </w:trPr>
        <w:tc>
          <w:tcPr>
            <w:tcW w:w="1395" w:type="dxa"/>
            <w:vMerge w:val="restart"/>
            <w:tcBorders>
              <w:top w:val="single" w:color="000000" w:sz="4" w:space="0"/>
              <w:left w:val="single" w:color="000000" w:sz="4" w:space="0"/>
              <w:bottom w:val="single" w:color="000000" w:sz="4" w:space="0"/>
              <w:right w:val="single" w:color="000000" w:sz="4" w:space="0"/>
            </w:tcBorders>
            <w:noWrap/>
            <w:vAlign w:val="center"/>
          </w:tcPr>
          <w:p w14:paraId="6D8172E2">
            <w:pPr>
              <w:widowControl/>
              <w:jc w:val="center"/>
              <w:textAlignment w:val="center"/>
              <w:rPr>
                <w:rFonts w:hint="eastAsia" w:ascii="宋体" w:hAnsi="宋体" w:cs="宋体"/>
                <w:color w:val="000000"/>
              </w:rPr>
            </w:pPr>
            <w:r>
              <w:rPr>
                <w:rFonts w:hint="eastAsia" w:ascii="宋体" w:hAnsi="宋体" w:cs="宋体"/>
                <w:color w:val="000000"/>
              </w:rPr>
              <w:t xml:space="preserve">管理部门 </w:t>
            </w:r>
          </w:p>
          <w:p w14:paraId="01C29B98">
            <w:pPr>
              <w:widowControl/>
              <w:jc w:val="center"/>
              <w:textAlignment w:val="center"/>
              <w:rPr>
                <w:rFonts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3</w:t>
            </w:r>
            <w:r>
              <w:rPr>
                <w:rFonts w:hint="eastAsia" w:ascii="宋体" w:hAnsi="宋体" w:cs="宋体"/>
                <w:color w:val="000000"/>
              </w:rPr>
              <w:t>人</w:t>
            </w:r>
          </w:p>
        </w:tc>
        <w:tc>
          <w:tcPr>
            <w:tcW w:w="900" w:type="dxa"/>
            <w:vMerge w:val="restart"/>
            <w:tcBorders>
              <w:top w:val="single" w:color="000000" w:sz="4" w:space="0"/>
              <w:left w:val="single" w:color="000000" w:sz="4" w:space="0"/>
              <w:bottom w:val="single" w:color="000000" w:sz="4" w:space="0"/>
              <w:right w:val="single" w:color="000000" w:sz="4" w:space="0"/>
            </w:tcBorders>
            <w:noWrap/>
            <w:vAlign w:val="center"/>
          </w:tcPr>
          <w:p w14:paraId="465FFFFD">
            <w:pPr>
              <w:widowControl/>
              <w:jc w:val="center"/>
              <w:textAlignment w:val="center"/>
              <w:rPr>
                <w:rFonts w:ascii="宋体" w:hAnsi="宋体" w:cs="宋体"/>
                <w:color w:val="000000"/>
              </w:rPr>
            </w:pPr>
            <w:r>
              <w:rPr>
                <w:rFonts w:hint="eastAsia" w:ascii="宋体" w:hAnsi="宋体" w:cs="宋体"/>
                <w:color w:val="000000"/>
              </w:rPr>
              <w:t>1F</w:t>
            </w: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12D9C950">
            <w:pPr>
              <w:widowControl/>
              <w:jc w:val="center"/>
              <w:textAlignment w:val="center"/>
              <w:rPr>
                <w:rFonts w:ascii="宋体" w:hAnsi="宋体" w:cs="宋体"/>
                <w:color w:val="000000"/>
              </w:rPr>
            </w:pPr>
            <w:r>
              <w:rPr>
                <w:rFonts w:hint="eastAsia" w:ascii="宋体" w:hAnsi="宋体" w:cs="宋体"/>
                <w:color w:val="000000"/>
              </w:rPr>
              <w:t>项目经理</w:t>
            </w:r>
          </w:p>
        </w:tc>
        <w:tc>
          <w:tcPr>
            <w:tcW w:w="953" w:type="dxa"/>
            <w:tcBorders>
              <w:top w:val="single" w:color="000000" w:sz="4" w:space="0"/>
              <w:left w:val="single" w:color="000000" w:sz="4" w:space="0"/>
              <w:bottom w:val="single" w:color="000000" w:sz="4" w:space="0"/>
              <w:right w:val="single" w:color="000000" w:sz="4" w:space="0"/>
            </w:tcBorders>
            <w:noWrap/>
            <w:vAlign w:val="center"/>
          </w:tcPr>
          <w:p w14:paraId="5001FC1F">
            <w:pPr>
              <w:widowControl/>
              <w:spacing w:line="240" w:lineRule="auto"/>
              <w:jc w:val="center"/>
              <w:textAlignment w:val="center"/>
              <w:rPr>
                <w:rFonts w:ascii="宋体" w:hAnsi="宋体" w:cs="宋体"/>
                <w:color w:val="000000"/>
              </w:rPr>
            </w:pPr>
            <w:r>
              <w:rPr>
                <w:rFonts w:hint="eastAsia" w:ascii="宋体" w:hAnsi="宋体" w:cs="宋体"/>
                <w:color w:val="000000"/>
              </w:rPr>
              <w:t>1</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697CD07D">
            <w:pPr>
              <w:widowControl/>
              <w:jc w:val="center"/>
              <w:textAlignment w:val="center"/>
              <w:rPr>
                <w:rFonts w:hint="eastAsia" w:ascii="宋体" w:hAnsi="宋体" w:cs="宋体"/>
                <w:color w:val="000000"/>
              </w:rPr>
            </w:pPr>
            <w:r>
              <w:rPr>
                <w:rFonts w:hint="eastAsia" w:ascii="宋体" w:hAnsi="宋体" w:cs="宋体"/>
                <w:color w:val="000000"/>
              </w:rPr>
              <w:t>1人</w:t>
            </w:r>
          </w:p>
        </w:tc>
      </w:tr>
      <w:tr w14:paraId="42CEF251">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7061F321">
            <w:pPr>
              <w:jc w:val="center"/>
              <w:rPr>
                <w:rFonts w:ascii="宋体" w:hAnsi="宋体" w:cs="宋体"/>
                <w:color w:val="000000"/>
              </w:rPr>
            </w:pPr>
          </w:p>
        </w:tc>
        <w:tc>
          <w:tcPr>
            <w:tcW w:w="900" w:type="dxa"/>
            <w:vMerge w:val="continue"/>
            <w:tcBorders>
              <w:top w:val="single" w:color="000000" w:sz="4" w:space="0"/>
              <w:left w:val="single" w:color="000000" w:sz="4" w:space="0"/>
              <w:bottom w:val="single" w:color="000000" w:sz="4" w:space="0"/>
              <w:right w:val="single" w:color="000000" w:sz="4" w:space="0"/>
            </w:tcBorders>
            <w:noWrap/>
            <w:vAlign w:val="center"/>
          </w:tcPr>
          <w:p w14:paraId="141071D5">
            <w:pPr>
              <w:jc w:val="center"/>
              <w:rPr>
                <w:rFonts w:ascii="宋体" w:hAnsi="宋体" w:cs="宋体"/>
                <w:color w:val="000000"/>
              </w:rPr>
            </w:pPr>
          </w:p>
        </w:tc>
        <w:tc>
          <w:tcPr>
            <w:tcW w:w="3005" w:type="dxa"/>
            <w:gridSpan w:val="2"/>
            <w:tcBorders>
              <w:top w:val="single" w:color="000000" w:sz="4" w:space="0"/>
              <w:left w:val="single" w:color="000000" w:sz="4" w:space="0"/>
              <w:bottom w:val="single" w:color="000000" w:sz="4" w:space="0"/>
              <w:right w:val="single" w:color="000000" w:sz="4" w:space="0"/>
            </w:tcBorders>
            <w:noWrap/>
            <w:vAlign w:val="center"/>
          </w:tcPr>
          <w:p w14:paraId="13D06268">
            <w:pPr>
              <w:widowControl/>
              <w:jc w:val="center"/>
              <w:textAlignment w:val="center"/>
              <w:rPr>
                <w:rFonts w:ascii="宋体" w:hAnsi="宋体" w:cs="宋体"/>
                <w:color w:val="000000"/>
              </w:rPr>
            </w:pPr>
            <w:r>
              <w:rPr>
                <w:rFonts w:hint="eastAsia" w:ascii="宋体" w:hAnsi="宋体" w:cs="宋体"/>
                <w:color w:val="000000"/>
              </w:rPr>
              <w:t>文员</w:t>
            </w:r>
          </w:p>
        </w:tc>
        <w:tc>
          <w:tcPr>
            <w:tcW w:w="953" w:type="dxa"/>
            <w:tcBorders>
              <w:top w:val="single" w:color="000000" w:sz="4" w:space="0"/>
              <w:left w:val="single" w:color="000000" w:sz="4" w:space="0"/>
              <w:bottom w:val="single" w:color="000000" w:sz="4" w:space="0"/>
              <w:right w:val="single" w:color="000000" w:sz="4" w:space="0"/>
            </w:tcBorders>
            <w:noWrap/>
            <w:vAlign w:val="center"/>
          </w:tcPr>
          <w:p w14:paraId="088C9FCE">
            <w:pPr>
              <w:widowControl/>
              <w:spacing w:line="240" w:lineRule="auto"/>
              <w:jc w:val="center"/>
              <w:textAlignment w:val="center"/>
              <w:rPr>
                <w:rFonts w:ascii="宋体" w:hAnsi="宋体" w:cs="宋体"/>
                <w:color w:val="000000"/>
              </w:rPr>
            </w:pPr>
            <w:r>
              <w:rPr>
                <w:rFonts w:hint="eastAsia" w:ascii="宋体" w:hAnsi="宋体" w:cs="宋体"/>
                <w:color w:val="000000"/>
              </w:rPr>
              <w:t>1</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4362988A">
            <w:pPr>
              <w:widowControl/>
              <w:jc w:val="center"/>
              <w:textAlignment w:val="center"/>
              <w:rPr>
                <w:rFonts w:hint="eastAsia" w:ascii="宋体" w:hAnsi="宋体" w:cs="宋体"/>
                <w:color w:val="000000"/>
              </w:rPr>
            </w:pPr>
            <w:r>
              <w:rPr>
                <w:rFonts w:hint="eastAsia" w:ascii="宋体" w:hAnsi="宋体" w:cs="宋体"/>
                <w:color w:val="000000"/>
              </w:rPr>
              <w:t>1人</w:t>
            </w:r>
          </w:p>
        </w:tc>
      </w:tr>
      <w:tr w14:paraId="54573DCC">
        <w:tblPrEx>
          <w:tblCellMar>
            <w:top w:w="0" w:type="dxa"/>
            <w:left w:w="108" w:type="dxa"/>
            <w:bottom w:w="0" w:type="dxa"/>
            <w:right w:w="108" w:type="dxa"/>
          </w:tblCellMar>
        </w:tblPrEx>
        <w:trPr>
          <w:trHeight w:val="624" w:hRule="atLeast"/>
        </w:trPr>
        <w:tc>
          <w:tcPr>
            <w:tcW w:w="1395" w:type="dxa"/>
            <w:vMerge w:val="continue"/>
            <w:tcBorders>
              <w:top w:val="single" w:color="000000" w:sz="4" w:space="0"/>
              <w:left w:val="single" w:color="000000" w:sz="4" w:space="0"/>
              <w:bottom w:val="single" w:color="000000" w:sz="4" w:space="0"/>
              <w:right w:val="single" w:color="000000" w:sz="4" w:space="0"/>
            </w:tcBorders>
            <w:noWrap/>
            <w:vAlign w:val="center"/>
          </w:tcPr>
          <w:p w14:paraId="33F9928A">
            <w:pPr>
              <w:jc w:val="center"/>
              <w:rPr>
                <w:rFonts w:ascii="宋体" w:hAnsi="宋体" w:cs="宋体"/>
                <w:color w:val="000000"/>
              </w:rPr>
            </w:pPr>
          </w:p>
        </w:tc>
        <w:tc>
          <w:tcPr>
            <w:tcW w:w="900" w:type="dxa"/>
            <w:vMerge w:val="continue"/>
            <w:tcBorders>
              <w:top w:val="single" w:color="000000" w:sz="4" w:space="0"/>
              <w:left w:val="single" w:color="000000" w:sz="4" w:space="0"/>
              <w:bottom w:val="single" w:color="000000" w:sz="4" w:space="0"/>
              <w:right w:val="single" w:color="000000" w:sz="4" w:space="0"/>
            </w:tcBorders>
            <w:noWrap/>
            <w:vAlign w:val="center"/>
          </w:tcPr>
          <w:p w14:paraId="5D3C0B73">
            <w:pPr>
              <w:jc w:val="center"/>
              <w:rPr>
                <w:rFonts w:ascii="宋体" w:hAnsi="宋体" w:cs="宋体"/>
                <w:color w:val="000000"/>
              </w:rPr>
            </w:pPr>
          </w:p>
        </w:tc>
        <w:tc>
          <w:tcPr>
            <w:tcW w:w="3005" w:type="dxa"/>
            <w:gridSpan w:val="2"/>
            <w:tcBorders>
              <w:top w:val="single" w:color="000000" w:sz="4" w:space="0"/>
              <w:left w:val="single" w:color="000000" w:sz="4" w:space="0"/>
              <w:right w:val="single" w:color="000000" w:sz="4" w:space="0"/>
            </w:tcBorders>
            <w:noWrap/>
            <w:vAlign w:val="center"/>
          </w:tcPr>
          <w:p w14:paraId="2D695C8B">
            <w:pPr>
              <w:widowControl/>
              <w:jc w:val="center"/>
              <w:textAlignment w:val="center"/>
              <w:rPr>
                <w:rFonts w:ascii="宋体" w:hAnsi="宋体" w:cs="宋体"/>
                <w:color w:val="000000"/>
              </w:rPr>
            </w:pPr>
            <w:r>
              <w:rPr>
                <w:rFonts w:hint="eastAsia" w:ascii="宋体" w:hAnsi="宋体" w:cs="宋体"/>
                <w:color w:val="000000"/>
                <w:lang w:val="en-US" w:eastAsia="zh-CN"/>
              </w:rPr>
              <w:t>保洁主管</w:t>
            </w:r>
          </w:p>
        </w:tc>
        <w:tc>
          <w:tcPr>
            <w:tcW w:w="953" w:type="dxa"/>
            <w:tcBorders>
              <w:top w:val="single" w:color="000000" w:sz="4" w:space="0"/>
              <w:left w:val="single" w:color="000000" w:sz="4" w:space="0"/>
              <w:right w:val="single" w:color="000000" w:sz="4" w:space="0"/>
            </w:tcBorders>
            <w:noWrap/>
            <w:vAlign w:val="center"/>
          </w:tcPr>
          <w:p w14:paraId="2297788C">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ign w:val="center"/>
          </w:tcPr>
          <w:p w14:paraId="764AC58F">
            <w:pPr>
              <w:widowControl/>
              <w:jc w:val="center"/>
              <w:textAlignment w:val="center"/>
              <w:rPr>
                <w:rFonts w:hint="eastAsia" w:ascii="宋体" w:hAnsi="宋体" w:cs="宋体"/>
                <w:color w:val="000000"/>
                <w:lang w:val="en-US" w:eastAsia="zh-CN"/>
              </w:rPr>
            </w:pPr>
            <w:r>
              <w:rPr>
                <w:rFonts w:hint="eastAsia" w:ascii="宋体" w:hAnsi="宋体" w:cs="宋体"/>
                <w:color w:val="000000"/>
                <w:lang w:val="en-US" w:eastAsia="zh-CN"/>
              </w:rPr>
              <w:t>1</w:t>
            </w:r>
            <w:r>
              <w:rPr>
                <w:rFonts w:hint="eastAsia" w:ascii="宋体" w:hAnsi="宋体" w:cs="宋体"/>
                <w:color w:val="000000"/>
              </w:rPr>
              <w:t>人</w:t>
            </w:r>
          </w:p>
        </w:tc>
      </w:tr>
      <w:tr w14:paraId="319489F1">
        <w:tblPrEx>
          <w:tblCellMar>
            <w:top w:w="0" w:type="dxa"/>
            <w:left w:w="108" w:type="dxa"/>
            <w:bottom w:w="0" w:type="dxa"/>
            <w:right w:w="108" w:type="dxa"/>
          </w:tblCellMar>
        </w:tblPrEx>
        <w:trPr>
          <w:trHeight w:val="690" w:hRule="atLeast"/>
        </w:trPr>
        <w:tc>
          <w:tcPr>
            <w:tcW w:w="8790" w:type="dxa"/>
            <w:gridSpan w:val="6"/>
            <w:tcBorders>
              <w:top w:val="single" w:color="000000" w:sz="4" w:space="0"/>
              <w:left w:val="single" w:color="000000" w:sz="4" w:space="0"/>
              <w:bottom w:val="single" w:color="000000" w:sz="4" w:space="0"/>
              <w:right w:val="single" w:color="000000" w:sz="4" w:space="0"/>
            </w:tcBorders>
            <w:noWrap w:val="0"/>
            <w:vAlign w:val="center"/>
          </w:tcPr>
          <w:p w14:paraId="4D453520">
            <w:pPr>
              <w:widowControl/>
              <w:spacing w:line="240" w:lineRule="auto"/>
              <w:jc w:val="center"/>
              <w:textAlignment w:val="center"/>
            </w:pPr>
            <w:r>
              <w:rPr>
                <w:rFonts w:hint="eastAsia" w:ascii="宋体" w:hAnsi="宋体" w:cs="宋体"/>
                <w:color w:val="000000"/>
              </w:rPr>
              <w:t>住院部岗位人员明细</w:t>
            </w:r>
          </w:p>
        </w:tc>
      </w:tr>
      <w:tr w14:paraId="2403F61F">
        <w:tblPrEx>
          <w:tblCellMar>
            <w:top w:w="0" w:type="dxa"/>
            <w:left w:w="108" w:type="dxa"/>
            <w:bottom w:w="0" w:type="dxa"/>
            <w:right w:w="108" w:type="dxa"/>
          </w:tblCellMar>
        </w:tblPrEx>
        <w:trPr>
          <w:trHeight w:val="624"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13AE1C67">
            <w:pPr>
              <w:widowControl/>
              <w:jc w:val="center"/>
              <w:textAlignment w:val="center"/>
              <w:rPr>
                <w:rFonts w:ascii="宋体" w:hAnsi="宋体" w:cs="宋体"/>
                <w:color w:val="000000"/>
              </w:rPr>
            </w:pPr>
            <w:r>
              <w:rPr>
                <w:rFonts w:hint="eastAsia" w:ascii="宋体" w:hAnsi="宋体" w:cs="宋体"/>
                <w:color w:val="000000"/>
              </w:rPr>
              <w:t>区域</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201799A3">
            <w:pPr>
              <w:widowControl/>
              <w:jc w:val="center"/>
              <w:textAlignment w:val="center"/>
              <w:rPr>
                <w:rFonts w:ascii="宋体" w:hAnsi="宋体" w:cs="宋体"/>
                <w:color w:val="000000"/>
              </w:rPr>
            </w:pPr>
            <w:r>
              <w:rPr>
                <w:rFonts w:hint="eastAsia" w:ascii="宋体" w:hAnsi="宋体" w:cs="宋体"/>
                <w:color w:val="000000"/>
              </w:rPr>
              <w:t>楼层</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F9CE074">
            <w:pPr>
              <w:widowControl/>
              <w:jc w:val="center"/>
              <w:textAlignment w:val="center"/>
              <w:rPr>
                <w:rFonts w:ascii="宋体" w:hAnsi="宋体" w:cs="宋体"/>
                <w:color w:val="000000"/>
              </w:rPr>
            </w:pPr>
            <w:r>
              <w:rPr>
                <w:rFonts w:hint="eastAsia" w:ascii="宋体" w:hAnsi="宋体" w:cs="宋体"/>
                <w:color w:val="000000"/>
              </w:rPr>
              <w:t>工作区域</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00598C76">
            <w:pPr>
              <w:widowControl/>
              <w:spacing w:line="240" w:lineRule="auto"/>
              <w:jc w:val="center"/>
              <w:textAlignment w:val="center"/>
              <w:rPr>
                <w:rFonts w:ascii="宋体" w:hAnsi="宋体" w:cs="宋体"/>
                <w:color w:val="000000"/>
              </w:rPr>
            </w:pPr>
            <w:r>
              <w:rPr>
                <w:rFonts w:hint="eastAsia" w:ascii="宋体" w:hAnsi="宋体" w:cs="宋体"/>
                <w:color w:val="000000"/>
              </w:rPr>
              <w:t>总人数</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066D4AE2">
            <w:pPr>
              <w:widowControl/>
              <w:jc w:val="center"/>
              <w:textAlignment w:val="center"/>
              <w:rPr>
                <w:rFonts w:hint="eastAsia" w:ascii="宋体" w:hAnsi="宋体" w:cs="宋体"/>
                <w:color w:val="000000"/>
              </w:rPr>
            </w:pPr>
            <w:r>
              <w:rPr>
                <w:rFonts w:hint="eastAsia" w:ascii="宋体" w:hAnsi="宋体" w:cs="宋体"/>
                <w:color w:val="000000"/>
              </w:rPr>
              <w:t>工作内容</w:t>
            </w:r>
          </w:p>
        </w:tc>
      </w:tr>
      <w:tr w14:paraId="04C2FD20">
        <w:tblPrEx>
          <w:tblCellMar>
            <w:top w:w="0" w:type="dxa"/>
            <w:left w:w="108" w:type="dxa"/>
            <w:bottom w:w="0" w:type="dxa"/>
            <w:right w:w="108" w:type="dxa"/>
          </w:tblCellMar>
        </w:tblPrEx>
        <w:trPr>
          <w:trHeight w:val="624" w:hRule="atLeast"/>
        </w:trPr>
        <w:tc>
          <w:tcPr>
            <w:tcW w:w="1395" w:type="dxa"/>
            <w:vMerge w:val="restart"/>
            <w:tcBorders>
              <w:top w:val="single" w:color="000000" w:sz="4" w:space="0"/>
              <w:left w:val="single" w:color="000000" w:sz="4" w:space="0"/>
              <w:right w:val="single" w:color="000000" w:sz="4" w:space="0"/>
            </w:tcBorders>
            <w:noWrap w:val="0"/>
            <w:vAlign w:val="center"/>
          </w:tcPr>
          <w:p w14:paraId="48CB9B42">
            <w:pPr>
              <w:widowControl/>
              <w:jc w:val="center"/>
              <w:textAlignment w:val="center"/>
              <w:rPr>
                <w:rFonts w:hint="default" w:ascii="宋体" w:hAnsi="宋体" w:eastAsia="宋体" w:cs="宋体"/>
                <w:color w:val="000000"/>
                <w:lang w:val="en-US" w:eastAsia="zh-CN"/>
              </w:rPr>
            </w:pPr>
            <w:bookmarkStart w:id="506" w:name="OLE_LINK1" w:colFirst="3" w:colLast="3"/>
            <w:r>
              <w:rPr>
                <w:rFonts w:hint="eastAsia" w:ascii="宋体" w:hAnsi="宋体" w:cs="宋体"/>
                <w:color w:val="000000"/>
                <w:lang w:val="en-US" w:eastAsia="zh-CN"/>
              </w:rPr>
              <w:t>住</w:t>
            </w:r>
            <w:r>
              <w:rPr>
                <w:rFonts w:hint="eastAsia" w:ascii="宋体" w:hAnsi="宋体" w:cs="宋体"/>
                <w:color w:val="000000"/>
              </w:rPr>
              <w:t xml:space="preserve">院部    </w:t>
            </w:r>
            <w:r>
              <w:rPr>
                <w:rFonts w:hint="eastAsia" w:ascii="宋体" w:hAnsi="宋体" w:cs="宋体"/>
                <w:color w:val="000000"/>
                <w:lang w:val="en-US" w:eastAsia="zh-CN"/>
              </w:rPr>
              <w:t>37</w:t>
            </w:r>
            <w:r>
              <w:rPr>
                <w:rFonts w:hint="eastAsia" w:ascii="宋体" w:hAnsi="宋体" w:cs="宋体"/>
                <w:color w:val="000000"/>
              </w:rPr>
              <w:t>人</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26A28DB2">
            <w:pPr>
              <w:widowControl/>
              <w:jc w:val="center"/>
              <w:textAlignment w:val="center"/>
              <w:rPr>
                <w:rFonts w:ascii="宋体" w:hAnsi="宋体" w:cs="宋体"/>
                <w:color w:val="000000"/>
              </w:rPr>
            </w:pPr>
            <w:r>
              <w:rPr>
                <w:rFonts w:hint="eastAsia" w:ascii="宋体" w:hAnsi="宋体" w:cs="宋体"/>
                <w:color w:val="000000"/>
              </w:rPr>
              <w:t>1</w:t>
            </w:r>
            <w:r>
              <w:rPr>
                <w:rFonts w:hint="eastAsia" w:ascii="宋体" w:hAnsi="宋体" w:cs="宋体"/>
                <w:color w:val="000000"/>
                <w:lang w:val="en-US" w:eastAsia="zh-CN"/>
              </w:rPr>
              <w:t>7</w:t>
            </w:r>
            <w:r>
              <w:rPr>
                <w:rFonts w:hint="eastAsia" w:ascii="宋体" w:hAnsi="宋体" w:cs="宋体"/>
                <w:color w:val="000000"/>
              </w:rPr>
              <w:t>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5BCF882F">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十八区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DE49FE8">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067D4B36">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62B14336">
        <w:tblPrEx>
          <w:tblCellMar>
            <w:top w:w="0" w:type="dxa"/>
            <w:left w:w="108" w:type="dxa"/>
            <w:bottom w:w="0" w:type="dxa"/>
            <w:right w:w="108" w:type="dxa"/>
          </w:tblCellMar>
        </w:tblPrEx>
        <w:trPr>
          <w:trHeight w:val="624" w:hRule="atLeast"/>
        </w:trPr>
        <w:tc>
          <w:tcPr>
            <w:tcW w:w="1395" w:type="dxa"/>
            <w:vMerge w:val="continue"/>
            <w:tcBorders>
              <w:left w:val="single" w:color="000000" w:sz="4" w:space="0"/>
              <w:right w:val="single" w:color="000000" w:sz="4" w:space="0"/>
            </w:tcBorders>
            <w:noWrap w:val="0"/>
            <w:vAlign w:val="center"/>
          </w:tcPr>
          <w:p w14:paraId="6F4F1710">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2B013CC9">
            <w:pPr>
              <w:widowControl/>
              <w:jc w:val="center"/>
              <w:textAlignment w:val="center"/>
              <w:rPr>
                <w:rFonts w:ascii="宋体" w:hAnsi="宋体" w:cs="宋体"/>
                <w:color w:val="000000"/>
              </w:rPr>
            </w:pPr>
            <w:r>
              <w:rPr>
                <w:rFonts w:hint="eastAsia" w:ascii="宋体" w:hAnsi="宋体" w:cs="宋体"/>
                <w:color w:val="000000"/>
              </w:rPr>
              <w:t>16F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8C156B5">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十七区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129F50F5">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21D8F2AB">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49D6B907">
        <w:tblPrEx>
          <w:tblCellMar>
            <w:top w:w="0" w:type="dxa"/>
            <w:left w:w="108" w:type="dxa"/>
            <w:bottom w:w="0" w:type="dxa"/>
            <w:right w:w="108" w:type="dxa"/>
          </w:tblCellMar>
        </w:tblPrEx>
        <w:trPr>
          <w:trHeight w:val="624" w:hRule="atLeast"/>
        </w:trPr>
        <w:tc>
          <w:tcPr>
            <w:tcW w:w="1395" w:type="dxa"/>
            <w:vMerge w:val="continue"/>
            <w:tcBorders>
              <w:left w:val="single" w:color="000000" w:sz="4" w:space="0"/>
              <w:right w:val="single" w:color="000000" w:sz="4" w:space="0"/>
            </w:tcBorders>
            <w:noWrap w:val="0"/>
            <w:vAlign w:val="center"/>
          </w:tcPr>
          <w:p w14:paraId="1C7695A9">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2084EC1">
            <w:pPr>
              <w:widowControl/>
              <w:jc w:val="center"/>
              <w:textAlignment w:val="center"/>
              <w:rPr>
                <w:rFonts w:ascii="宋体" w:hAnsi="宋体" w:cs="宋体"/>
                <w:color w:val="000000"/>
              </w:rPr>
            </w:pPr>
            <w:r>
              <w:rPr>
                <w:rFonts w:hint="eastAsia" w:ascii="宋体" w:hAnsi="宋体" w:cs="宋体"/>
                <w:color w:val="000000"/>
              </w:rPr>
              <w:t>15F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106632AE">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十六区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3B5FA980">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4A60C509">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406E90B1">
        <w:tblPrEx>
          <w:tblCellMar>
            <w:top w:w="0" w:type="dxa"/>
            <w:left w:w="108" w:type="dxa"/>
            <w:bottom w:w="0" w:type="dxa"/>
            <w:right w:w="108" w:type="dxa"/>
          </w:tblCellMar>
        </w:tblPrEx>
        <w:trPr>
          <w:trHeight w:val="624" w:hRule="atLeast"/>
        </w:trPr>
        <w:tc>
          <w:tcPr>
            <w:tcW w:w="1395" w:type="dxa"/>
            <w:vMerge w:val="continue"/>
            <w:tcBorders>
              <w:left w:val="single" w:color="000000" w:sz="4" w:space="0"/>
              <w:right w:val="single" w:color="000000" w:sz="4" w:space="0"/>
            </w:tcBorders>
            <w:noWrap w:val="0"/>
            <w:vAlign w:val="center"/>
          </w:tcPr>
          <w:p w14:paraId="344601BB">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241D31E">
            <w:pPr>
              <w:widowControl/>
              <w:jc w:val="center"/>
              <w:textAlignment w:val="center"/>
              <w:rPr>
                <w:rFonts w:ascii="宋体" w:hAnsi="宋体" w:cs="宋体"/>
                <w:color w:val="000000"/>
              </w:rPr>
            </w:pPr>
            <w:r>
              <w:rPr>
                <w:rFonts w:hint="eastAsia" w:ascii="宋体" w:hAnsi="宋体" w:cs="宋体"/>
                <w:color w:val="000000"/>
              </w:rPr>
              <w:t>14F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3B0A809C">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十五区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E3B08F9">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573619A9">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69FA179E">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0B17712D">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35D541FA">
            <w:pPr>
              <w:widowControl/>
              <w:jc w:val="center"/>
              <w:textAlignment w:val="center"/>
              <w:rPr>
                <w:rFonts w:ascii="宋体" w:hAnsi="宋体" w:cs="宋体"/>
                <w:color w:val="000000"/>
              </w:rPr>
            </w:pPr>
            <w:r>
              <w:rPr>
                <w:rFonts w:hint="eastAsia" w:ascii="宋体" w:hAnsi="宋体" w:cs="宋体"/>
                <w:color w:val="000000"/>
              </w:rPr>
              <w:t>13F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1CBBCD82">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十三区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781D6CD6">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3D1D1555">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157A117A">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15C3DC6E">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66E20A7B">
            <w:pPr>
              <w:widowControl/>
              <w:jc w:val="center"/>
              <w:textAlignment w:val="center"/>
              <w:rPr>
                <w:rFonts w:ascii="宋体" w:hAnsi="宋体" w:cs="宋体"/>
                <w:color w:val="000000"/>
              </w:rPr>
            </w:pPr>
            <w:r>
              <w:rPr>
                <w:rFonts w:hint="eastAsia" w:ascii="宋体" w:hAnsi="宋体" w:cs="宋体"/>
                <w:color w:val="000000"/>
              </w:rPr>
              <w:t>12F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739D17E4">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十二区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1F4009F1">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3699D974">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32FC5735">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3838BA67">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11DF0025">
            <w:pPr>
              <w:widowControl/>
              <w:jc w:val="center"/>
              <w:textAlignment w:val="center"/>
              <w:rPr>
                <w:rFonts w:ascii="宋体" w:hAnsi="宋体" w:cs="宋体"/>
                <w:color w:val="000000"/>
              </w:rPr>
            </w:pPr>
            <w:r>
              <w:rPr>
                <w:rFonts w:hint="eastAsia" w:ascii="宋体" w:hAnsi="宋体" w:cs="宋体"/>
                <w:color w:val="000000"/>
              </w:rPr>
              <w:t>11F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2B98749">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十一区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5FBC687A">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69791C6F">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6C6BA202">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7F558186">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FF3C97D">
            <w:pPr>
              <w:widowControl/>
              <w:jc w:val="center"/>
              <w:textAlignment w:val="center"/>
              <w:rPr>
                <w:rFonts w:ascii="宋体" w:hAnsi="宋体" w:cs="宋体"/>
                <w:color w:val="000000"/>
              </w:rPr>
            </w:pPr>
            <w:r>
              <w:rPr>
                <w:rFonts w:hint="eastAsia" w:ascii="宋体" w:hAnsi="宋体" w:cs="宋体"/>
                <w:color w:val="000000"/>
                <w:lang w:val="en-US" w:eastAsia="zh-CN"/>
              </w:rPr>
              <w:t>10</w:t>
            </w:r>
            <w:r>
              <w:rPr>
                <w:rFonts w:hint="eastAsia" w:ascii="宋体" w:hAnsi="宋体" w:cs="宋体"/>
                <w:color w:val="000000"/>
              </w:rPr>
              <w:t>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44BAADC6">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十区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73F9F7E7">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476CBEFB">
            <w:pPr>
              <w:widowControl/>
              <w:jc w:val="center"/>
              <w:textAlignment w:val="center"/>
              <w:rPr>
                <w:rFonts w:hint="eastAsia" w:ascii="宋体" w:hAnsi="宋体" w:cs="宋体"/>
                <w:color w:val="000000"/>
              </w:rPr>
            </w:pPr>
            <w:r>
              <w:rPr>
                <w:rFonts w:hint="eastAsia" w:ascii="宋体" w:hAnsi="宋体" w:cs="宋体"/>
                <w:color w:val="000000"/>
              </w:rPr>
              <w:t>保洁/运送</w:t>
            </w:r>
            <w:r>
              <w:rPr>
                <w:rFonts w:hint="eastAsia" w:ascii="宋体" w:hAnsi="宋体" w:cs="宋体"/>
                <w:color w:val="000000"/>
                <w:lang w:val="en-US" w:eastAsia="zh-CN"/>
              </w:rPr>
              <w:t>3</w:t>
            </w:r>
            <w:r>
              <w:rPr>
                <w:rFonts w:hint="eastAsia" w:ascii="宋体" w:hAnsi="宋体" w:cs="宋体"/>
                <w:color w:val="000000"/>
              </w:rPr>
              <w:t>人</w:t>
            </w:r>
          </w:p>
        </w:tc>
      </w:tr>
      <w:tr w14:paraId="1FCB610F">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2FD7265A">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359D0499">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9F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7B57715C">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九区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25C43597">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584F3A8E">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0DAE9E5A">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127958C1">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6DCECEDD">
            <w:pPr>
              <w:widowControl/>
              <w:jc w:val="center"/>
              <w:textAlignment w:val="center"/>
              <w:rPr>
                <w:rFonts w:ascii="宋体" w:hAnsi="宋体" w:cs="宋体"/>
                <w:color w:val="000000"/>
              </w:rPr>
            </w:pPr>
            <w:r>
              <w:rPr>
                <w:rFonts w:hint="eastAsia" w:ascii="宋体" w:hAnsi="宋体" w:cs="宋体"/>
                <w:color w:val="000000"/>
              </w:rPr>
              <w:t>8F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165D1775">
            <w:pPr>
              <w:widowControl/>
              <w:jc w:val="center"/>
              <w:textAlignment w:val="center"/>
              <w:rPr>
                <w:rFonts w:ascii="宋体" w:hAnsi="宋体" w:cs="宋体"/>
                <w:color w:val="000000"/>
              </w:rPr>
            </w:pPr>
            <w:r>
              <w:rPr>
                <w:rFonts w:hint="eastAsia" w:ascii="宋体" w:hAnsi="宋体" w:cs="宋体"/>
                <w:color w:val="000000"/>
              </w:rPr>
              <w:t>八区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4667A1B">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68344E1B">
            <w:pPr>
              <w:widowControl/>
              <w:jc w:val="center"/>
              <w:textAlignment w:val="center"/>
              <w:rPr>
                <w:rFonts w:hint="eastAsia" w:ascii="宋体" w:hAnsi="宋体" w:cs="宋体"/>
                <w:color w:val="000000"/>
              </w:rPr>
            </w:pPr>
            <w:r>
              <w:rPr>
                <w:rFonts w:hint="eastAsia" w:ascii="宋体" w:hAnsi="宋体" w:cs="宋体"/>
                <w:color w:val="000000"/>
              </w:rPr>
              <w:t>保洁/运送2</w:t>
            </w:r>
            <w:r>
              <w:rPr>
                <w:rFonts w:hint="eastAsia" w:ascii="宋体" w:hAnsi="宋体" w:cs="宋体"/>
                <w:color w:val="000000"/>
                <w:lang w:val="en-US" w:eastAsia="zh-CN"/>
              </w:rPr>
              <w:t>人</w:t>
            </w:r>
          </w:p>
        </w:tc>
      </w:tr>
      <w:tr w14:paraId="051911F1">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75C011FF">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16BED9E2">
            <w:pPr>
              <w:widowControl/>
              <w:jc w:val="center"/>
              <w:textAlignment w:val="center"/>
              <w:rPr>
                <w:rFonts w:ascii="宋体" w:hAnsi="宋体" w:cs="宋体"/>
                <w:color w:val="000000"/>
              </w:rPr>
            </w:pPr>
            <w:r>
              <w:rPr>
                <w:rFonts w:hint="eastAsia" w:ascii="宋体" w:hAnsi="宋体" w:cs="宋体"/>
                <w:color w:val="000000"/>
                <w:lang w:val="en-US" w:eastAsia="zh-CN"/>
              </w:rPr>
              <w:t>7</w:t>
            </w:r>
            <w:r>
              <w:rPr>
                <w:rFonts w:hint="eastAsia" w:ascii="宋体" w:hAnsi="宋体" w:cs="宋体"/>
                <w:color w:val="000000"/>
              </w:rPr>
              <w:t>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0811F3CD">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七区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10F461C">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3AE9270C">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676E81E9">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137AF2C6">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774ED50E">
            <w:pPr>
              <w:widowControl/>
              <w:jc w:val="center"/>
              <w:textAlignment w:val="center"/>
              <w:rPr>
                <w:rFonts w:ascii="宋体" w:hAnsi="宋体" w:cs="宋体"/>
                <w:color w:val="000000"/>
              </w:rPr>
            </w:pPr>
            <w:r>
              <w:rPr>
                <w:rFonts w:hint="eastAsia" w:ascii="宋体" w:hAnsi="宋体" w:cs="宋体"/>
                <w:color w:val="000000"/>
                <w:lang w:val="en-US" w:eastAsia="zh-CN"/>
              </w:rPr>
              <w:t>6</w:t>
            </w:r>
            <w:r>
              <w:rPr>
                <w:rFonts w:hint="eastAsia" w:ascii="宋体" w:hAnsi="宋体" w:cs="宋体"/>
                <w:color w:val="000000"/>
              </w:rPr>
              <w:t>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6D006A1">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六区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6EDF28C8">
            <w:pPr>
              <w:widowControl/>
              <w:spacing w:line="240" w:lineRule="auto"/>
              <w:jc w:val="center"/>
              <w:textAlignment w:val="center"/>
              <w:rPr>
                <w:rFonts w:ascii="宋体" w:hAnsi="宋体" w:cs="宋体"/>
                <w:color w:val="000000"/>
              </w:rPr>
            </w:pPr>
            <w:r>
              <w:rPr>
                <w:rFonts w:hint="eastAsia" w:ascii="宋体" w:hAnsi="宋体" w:cs="宋体"/>
                <w:color w:val="000000"/>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E9D7980">
            <w:pPr>
              <w:widowControl/>
              <w:jc w:val="center"/>
              <w:textAlignment w:val="center"/>
              <w:rPr>
                <w:rFonts w:hint="eastAsia" w:ascii="宋体" w:hAnsi="宋体" w:cs="宋体"/>
                <w:color w:val="000000"/>
              </w:rPr>
            </w:pPr>
            <w:r>
              <w:rPr>
                <w:rFonts w:hint="eastAsia" w:ascii="宋体" w:hAnsi="宋体" w:cs="宋体"/>
                <w:color w:val="000000"/>
              </w:rPr>
              <w:t>保洁/运送2人</w:t>
            </w:r>
          </w:p>
        </w:tc>
      </w:tr>
      <w:tr w14:paraId="108879A4">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3E2A1866">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472B4014">
            <w:pPr>
              <w:widowControl/>
              <w:jc w:val="center"/>
              <w:textAlignment w:val="center"/>
              <w:rPr>
                <w:rFonts w:ascii="宋体" w:hAnsi="宋体" w:cs="宋体"/>
                <w:color w:val="000000"/>
              </w:rPr>
            </w:pPr>
            <w:r>
              <w:rPr>
                <w:rFonts w:hint="eastAsia" w:ascii="宋体" w:hAnsi="宋体" w:cs="宋体"/>
                <w:color w:val="000000"/>
                <w:lang w:val="en-US" w:eastAsia="zh-CN"/>
              </w:rPr>
              <w:t>5</w:t>
            </w:r>
            <w:r>
              <w:rPr>
                <w:rFonts w:hint="eastAsia" w:ascii="宋体" w:hAnsi="宋体" w:cs="宋体"/>
                <w:color w:val="000000"/>
              </w:rPr>
              <w:t>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4D9366C">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五区</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61EDBA9E">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17206863">
            <w:pPr>
              <w:widowControl/>
              <w:jc w:val="center"/>
              <w:textAlignment w:val="center"/>
              <w:rPr>
                <w:rFonts w:hint="eastAsia" w:ascii="宋体" w:hAnsi="宋体" w:cs="宋体"/>
                <w:color w:val="000000"/>
              </w:rPr>
            </w:pPr>
            <w:r>
              <w:rPr>
                <w:rFonts w:hint="eastAsia" w:ascii="宋体" w:hAnsi="宋体" w:cs="宋体"/>
                <w:color w:val="000000"/>
              </w:rPr>
              <w:t>保洁/运送</w:t>
            </w:r>
            <w:r>
              <w:rPr>
                <w:rFonts w:hint="eastAsia" w:ascii="宋体" w:hAnsi="宋体" w:cs="宋体"/>
                <w:color w:val="000000"/>
                <w:lang w:val="en-US" w:eastAsia="zh-CN"/>
              </w:rPr>
              <w:t>2</w:t>
            </w:r>
            <w:r>
              <w:rPr>
                <w:rFonts w:hint="eastAsia" w:ascii="宋体" w:hAnsi="宋体" w:cs="宋体"/>
                <w:color w:val="000000"/>
              </w:rPr>
              <w:t>人</w:t>
            </w:r>
          </w:p>
        </w:tc>
      </w:tr>
      <w:tr w14:paraId="6BC6A7A6">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1082A92F">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AED05B1">
            <w:pPr>
              <w:widowControl/>
              <w:jc w:val="center"/>
              <w:textAlignment w:val="center"/>
              <w:rPr>
                <w:rFonts w:ascii="宋体" w:hAnsi="宋体" w:cs="宋体"/>
                <w:color w:val="000000"/>
              </w:rPr>
            </w:pPr>
            <w:r>
              <w:rPr>
                <w:rFonts w:hint="eastAsia" w:ascii="宋体" w:hAnsi="宋体" w:cs="宋体"/>
                <w:color w:val="000000"/>
              </w:rPr>
              <w:t>3F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10E4C15F">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手术室</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3954AA7D">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1E5ECE63">
            <w:pPr>
              <w:widowControl/>
              <w:ind w:firstLine="240" w:firstLineChars="100"/>
              <w:textAlignment w:val="center"/>
              <w:rPr>
                <w:rFonts w:hint="default" w:ascii="宋体" w:hAnsi="宋体" w:eastAsia="宋体" w:cs="宋体"/>
                <w:color w:val="000000"/>
                <w:lang w:val="en-US" w:eastAsia="zh-CN"/>
              </w:rPr>
            </w:pPr>
            <w:r>
              <w:rPr>
                <w:rFonts w:hint="eastAsia" w:ascii="宋体" w:hAnsi="宋体" w:cs="宋体"/>
                <w:color w:val="000000"/>
              </w:rPr>
              <w:t>保洁/运</w:t>
            </w:r>
            <w:r>
              <w:rPr>
                <w:rFonts w:hint="eastAsia" w:ascii="宋体" w:hAnsi="宋体" w:cs="宋体"/>
                <w:color w:val="000000"/>
                <w:lang w:val="en-US" w:eastAsia="zh-CN"/>
              </w:rPr>
              <w:t>送4人</w:t>
            </w:r>
          </w:p>
        </w:tc>
      </w:tr>
      <w:bookmarkEnd w:id="506"/>
      <w:tr w14:paraId="2E004829">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3F9D1A3C">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D5F541C">
            <w:pPr>
              <w:widowControl/>
              <w:jc w:val="center"/>
              <w:textAlignment w:val="center"/>
              <w:rPr>
                <w:rFonts w:ascii="宋体" w:hAnsi="宋体" w:cs="宋体"/>
                <w:color w:val="000000"/>
              </w:rPr>
            </w:pPr>
            <w:r>
              <w:rPr>
                <w:rFonts w:hint="eastAsia" w:ascii="宋体" w:hAnsi="宋体" w:cs="宋体"/>
                <w:color w:val="000000"/>
              </w:rPr>
              <w:t>2F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067F580">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ICU</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340F23D7">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2AE5D657">
            <w:pPr>
              <w:widowControl/>
              <w:jc w:val="center"/>
              <w:textAlignment w:val="center"/>
              <w:rPr>
                <w:rFonts w:hint="eastAsia" w:ascii="宋体" w:hAnsi="宋体" w:cs="宋体"/>
                <w:color w:val="000000"/>
              </w:rPr>
            </w:pPr>
            <w:r>
              <w:rPr>
                <w:rFonts w:hint="eastAsia" w:ascii="宋体" w:hAnsi="宋体" w:cs="宋体"/>
                <w:color w:val="000000"/>
              </w:rPr>
              <w:t>保洁/运送</w:t>
            </w:r>
            <w:r>
              <w:rPr>
                <w:rFonts w:hint="eastAsia" w:ascii="宋体" w:hAnsi="宋体" w:cs="宋体"/>
                <w:color w:val="000000"/>
                <w:lang w:val="en-US" w:eastAsia="zh-CN"/>
              </w:rPr>
              <w:t>2</w:t>
            </w:r>
            <w:r>
              <w:rPr>
                <w:rFonts w:hint="eastAsia" w:ascii="宋体" w:hAnsi="宋体" w:cs="宋体"/>
                <w:color w:val="000000"/>
              </w:rPr>
              <w:t>人</w:t>
            </w:r>
          </w:p>
        </w:tc>
      </w:tr>
      <w:tr w14:paraId="124FDD17">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38AF1F17">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7B3DEB4D">
            <w:pPr>
              <w:widowControl/>
              <w:jc w:val="center"/>
              <w:textAlignment w:val="center"/>
              <w:rPr>
                <w:rFonts w:ascii="宋体" w:hAnsi="宋体" w:cs="宋体"/>
                <w:color w:val="000000"/>
              </w:rPr>
            </w:pPr>
            <w:r>
              <w:rPr>
                <w:rFonts w:hint="eastAsia" w:ascii="宋体" w:hAnsi="宋体" w:cs="宋体"/>
                <w:color w:val="000000"/>
              </w:rPr>
              <w:t>1F</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7986BFF6">
            <w:pPr>
              <w:widowControl/>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大厅</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6D4ABB3D">
            <w:pPr>
              <w:widowControl/>
              <w:spacing w:line="240" w:lineRule="auto"/>
              <w:jc w:val="center"/>
              <w:textAlignment w:val="center"/>
              <w:rPr>
                <w:rFonts w:hint="eastAsia" w:ascii="宋体" w:hAnsi="宋体" w:eastAsia="宋体" w:cs="宋体"/>
                <w:color w:val="000000"/>
                <w:lang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453F9331">
            <w:pPr>
              <w:widowControl/>
              <w:jc w:val="center"/>
              <w:textAlignment w:val="center"/>
              <w:rPr>
                <w:rFonts w:hint="eastAsia" w:ascii="宋体" w:hAnsi="宋体" w:cs="宋体"/>
                <w:color w:val="000000"/>
                <w:lang w:val="en-US" w:eastAsia="zh-CN"/>
              </w:rPr>
            </w:pPr>
            <w:r>
              <w:rPr>
                <w:rFonts w:hint="eastAsia" w:ascii="宋体" w:hAnsi="宋体" w:cs="宋体"/>
                <w:color w:val="000000"/>
                <w:lang w:val="en-US" w:eastAsia="zh-CN"/>
              </w:rPr>
              <w:t>保洁1</w:t>
            </w:r>
            <w:r>
              <w:rPr>
                <w:rFonts w:hint="eastAsia" w:ascii="宋体" w:hAnsi="宋体" w:cs="宋体"/>
                <w:color w:val="000000"/>
              </w:rPr>
              <w:t>人</w:t>
            </w:r>
          </w:p>
        </w:tc>
      </w:tr>
      <w:tr w14:paraId="176A5773">
        <w:tblPrEx>
          <w:tblCellMar>
            <w:top w:w="0" w:type="dxa"/>
            <w:left w:w="108" w:type="dxa"/>
            <w:bottom w:w="0" w:type="dxa"/>
            <w:right w:w="108" w:type="dxa"/>
          </w:tblCellMar>
        </w:tblPrEx>
        <w:trPr>
          <w:trHeight w:val="481" w:hRule="atLeast"/>
        </w:trPr>
        <w:tc>
          <w:tcPr>
            <w:tcW w:w="1395" w:type="dxa"/>
            <w:vMerge w:val="continue"/>
            <w:tcBorders>
              <w:left w:val="single" w:color="000000" w:sz="4" w:space="0"/>
              <w:bottom w:val="nil"/>
              <w:right w:val="single" w:color="000000" w:sz="4" w:space="0"/>
            </w:tcBorders>
            <w:noWrap w:val="0"/>
            <w:vAlign w:val="center"/>
          </w:tcPr>
          <w:p w14:paraId="477112E4">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901B69E">
            <w:pPr>
              <w:widowControl/>
              <w:jc w:val="center"/>
              <w:textAlignment w:val="center"/>
              <w:rPr>
                <w:rFonts w:hint="eastAsia" w:ascii="宋体" w:hAnsi="宋体" w:eastAsia="宋体" w:cs="宋体"/>
                <w:color w:val="000000"/>
                <w:lang w:val="en-US" w:eastAsia="zh-CN"/>
              </w:rPr>
            </w:pP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47204E68">
            <w:pPr>
              <w:widowControl/>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电梯驾驶</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27666FF6">
            <w:pPr>
              <w:widowControl/>
              <w:spacing w:line="240" w:lineRule="auto"/>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DD8091D">
            <w:pPr>
              <w:widowControl/>
              <w:jc w:val="center"/>
              <w:textAlignment w:val="center"/>
              <w:rPr>
                <w:rFonts w:hint="eastAsia" w:ascii="宋体" w:hAnsi="宋体" w:cs="宋体"/>
                <w:color w:val="000000"/>
                <w:lang w:val="en-US" w:eastAsia="zh-CN"/>
              </w:rPr>
            </w:pPr>
            <w:r>
              <w:rPr>
                <w:rFonts w:hint="eastAsia" w:ascii="宋体" w:hAnsi="宋体" w:cs="宋体"/>
                <w:color w:val="000000"/>
                <w:lang w:val="en-US" w:eastAsia="zh-CN"/>
              </w:rPr>
              <w:t>电梯3人</w:t>
            </w:r>
          </w:p>
        </w:tc>
      </w:tr>
      <w:tr w14:paraId="7102B6A1">
        <w:tblPrEx>
          <w:tblCellMar>
            <w:top w:w="0" w:type="dxa"/>
            <w:left w:w="108" w:type="dxa"/>
            <w:bottom w:w="0" w:type="dxa"/>
            <w:right w:w="108" w:type="dxa"/>
          </w:tblCellMar>
        </w:tblPrEx>
        <w:trPr>
          <w:trHeight w:val="481" w:hRule="atLeast"/>
        </w:trPr>
        <w:tc>
          <w:tcPr>
            <w:tcW w:w="1395" w:type="dxa"/>
            <w:vMerge w:val="restart"/>
            <w:tcBorders>
              <w:top w:val="single" w:color="000000" w:sz="4" w:space="0"/>
              <w:left w:val="single" w:color="000000" w:sz="4" w:space="0"/>
              <w:right w:val="single" w:color="000000" w:sz="4" w:space="0"/>
            </w:tcBorders>
            <w:noWrap w:val="0"/>
            <w:vAlign w:val="center"/>
          </w:tcPr>
          <w:p w14:paraId="58716FF8">
            <w:pPr>
              <w:jc w:val="center"/>
              <w:rPr>
                <w:rFonts w:hint="eastAsia" w:ascii="宋体" w:hAnsi="宋体" w:cs="宋体"/>
                <w:color w:val="000000"/>
                <w:lang w:val="en-US" w:eastAsia="zh-CN"/>
              </w:rPr>
            </w:pPr>
            <w:r>
              <w:rPr>
                <w:rFonts w:hint="eastAsia" w:ascii="宋体" w:hAnsi="宋体" w:cs="宋体"/>
                <w:color w:val="000000"/>
                <w:lang w:val="en-US" w:eastAsia="zh-CN"/>
              </w:rPr>
              <w:t>行政楼</w:t>
            </w:r>
          </w:p>
          <w:p w14:paraId="07A90016">
            <w:pPr>
              <w:jc w:val="center"/>
              <w:rPr>
                <w:rFonts w:hint="default" w:ascii="宋体" w:hAnsi="宋体" w:cs="宋体"/>
                <w:color w:val="000000"/>
                <w:lang w:val="en-US" w:eastAsia="zh-CN"/>
              </w:rPr>
            </w:pPr>
            <w:r>
              <w:rPr>
                <w:rFonts w:hint="eastAsia" w:ascii="宋体" w:hAnsi="宋体" w:cs="宋体"/>
                <w:color w:val="000000"/>
                <w:lang w:val="en-US" w:eastAsia="zh-CN"/>
              </w:rPr>
              <w:t>4人</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B468E0B">
            <w:pPr>
              <w:jc w:val="center"/>
              <w:rPr>
                <w:rFonts w:hint="default" w:ascii="宋体" w:hAnsi="宋体" w:eastAsia="宋体" w:cs="宋体"/>
                <w:color w:val="000000"/>
                <w:lang w:val="en-US" w:eastAsia="zh-CN"/>
              </w:rPr>
            </w:pPr>
            <w:r>
              <w:rPr>
                <w:rFonts w:hint="eastAsia" w:ascii="宋体" w:hAnsi="宋体" w:cs="宋体"/>
                <w:color w:val="000000"/>
                <w:lang w:val="en-US" w:eastAsia="zh-CN"/>
              </w:rPr>
              <w:t>9F</w:t>
            </w:r>
          </w:p>
        </w:tc>
        <w:tc>
          <w:tcPr>
            <w:tcW w:w="2913" w:type="dxa"/>
            <w:tcBorders>
              <w:top w:val="single" w:color="000000" w:sz="4" w:space="0"/>
              <w:left w:val="single" w:color="000000" w:sz="4" w:space="0"/>
              <w:right w:val="single" w:color="000000" w:sz="4" w:space="0"/>
            </w:tcBorders>
            <w:noWrap w:val="0"/>
            <w:vAlign w:val="center"/>
          </w:tcPr>
          <w:p w14:paraId="56C9D4BF">
            <w:pPr>
              <w:widowControl/>
              <w:jc w:val="center"/>
              <w:textAlignment w:val="center"/>
              <w:rPr>
                <w:rFonts w:hint="eastAsia" w:ascii="宋体" w:hAnsi="宋体" w:eastAsia="宋体" w:cs="宋体"/>
                <w:color w:val="000000"/>
                <w:lang w:val="en-US" w:eastAsia="zh-CN"/>
              </w:rPr>
            </w:pPr>
          </w:p>
        </w:tc>
        <w:tc>
          <w:tcPr>
            <w:tcW w:w="953" w:type="dxa"/>
            <w:vMerge w:val="restart"/>
            <w:tcBorders>
              <w:top w:val="single" w:color="000000" w:sz="4" w:space="0"/>
              <w:left w:val="single" w:color="000000" w:sz="4" w:space="0"/>
              <w:right w:val="single" w:color="000000" w:sz="4" w:space="0"/>
            </w:tcBorders>
            <w:noWrap w:val="0"/>
            <w:vAlign w:val="center"/>
          </w:tcPr>
          <w:p w14:paraId="0E3E276B">
            <w:pPr>
              <w:widowControl/>
              <w:spacing w:line="240" w:lineRule="auto"/>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4</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22872AE9">
            <w:pPr>
              <w:jc w:val="center"/>
              <w:rPr>
                <w:rFonts w:hint="eastAsia" w:ascii="宋体" w:hAnsi="宋体" w:cs="宋体"/>
                <w:color w:val="000000"/>
                <w:lang w:val="en-US" w:eastAsia="zh-CN"/>
              </w:rPr>
            </w:pPr>
            <w:r>
              <w:rPr>
                <w:rFonts w:hint="eastAsia" w:ascii="宋体" w:hAnsi="宋体" w:cs="宋体"/>
                <w:color w:val="000000"/>
                <w:lang w:val="en-US" w:eastAsia="zh-CN"/>
              </w:rPr>
              <w:t>保洁1人</w:t>
            </w:r>
          </w:p>
        </w:tc>
      </w:tr>
      <w:tr w14:paraId="3B5FF123">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620949AA">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C690E91">
            <w:pPr>
              <w:jc w:val="center"/>
              <w:rPr>
                <w:rFonts w:hint="default" w:ascii="宋体" w:hAnsi="宋体" w:eastAsia="宋体" w:cs="宋体"/>
                <w:color w:val="000000"/>
                <w:lang w:val="en-US" w:eastAsia="zh-CN"/>
              </w:rPr>
            </w:pPr>
            <w:r>
              <w:rPr>
                <w:rFonts w:hint="eastAsia" w:ascii="宋体" w:hAnsi="宋体" w:cs="宋体"/>
                <w:color w:val="000000"/>
                <w:lang w:val="en-US" w:eastAsia="zh-CN"/>
              </w:rPr>
              <w:t>8F</w:t>
            </w:r>
          </w:p>
        </w:tc>
        <w:tc>
          <w:tcPr>
            <w:tcW w:w="2913" w:type="dxa"/>
            <w:tcBorders>
              <w:left w:val="single" w:color="000000" w:sz="4" w:space="0"/>
              <w:right w:val="single" w:color="000000" w:sz="4" w:space="0"/>
            </w:tcBorders>
            <w:noWrap w:val="0"/>
            <w:vAlign w:val="center"/>
          </w:tcPr>
          <w:p w14:paraId="77D575A6">
            <w:pPr>
              <w:widowControl/>
              <w:jc w:val="center"/>
              <w:textAlignment w:val="center"/>
              <w:rPr>
                <w:rFonts w:ascii="宋体" w:hAnsi="宋体" w:cs="宋体"/>
                <w:color w:val="000000"/>
              </w:rPr>
            </w:pPr>
          </w:p>
        </w:tc>
        <w:tc>
          <w:tcPr>
            <w:tcW w:w="953" w:type="dxa"/>
            <w:vMerge w:val="continue"/>
            <w:tcBorders>
              <w:left w:val="single" w:color="000000" w:sz="4" w:space="0"/>
              <w:right w:val="single" w:color="000000" w:sz="4" w:space="0"/>
            </w:tcBorders>
            <w:noWrap w:val="0"/>
            <w:vAlign w:val="center"/>
          </w:tcPr>
          <w:p w14:paraId="139007DD">
            <w:pPr>
              <w:widowControl/>
              <w:spacing w:line="240" w:lineRule="auto"/>
              <w:jc w:val="center"/>
              <w:textAlignment w:val="center"/>
              <w:rPr>
                <w:rFonts w:ascii="宋体" w:hAnsi="宋体" w:cs="宋体"/>
                <w:color w:val="000000"/>
              </w:rPr>
            </w:pP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CD60C56">
            <w:pPr>
              <w:jc w:val="center"/>
              <w:rPr>
                <w:rFonts w:hint="eastAsia" w:ascii="宋体" w:hAnsi="宋体" w:cs="宋体"/>
                <w:color w:val="000000"/>
                <w:lang w:val="en-US" w:eastAsia="zh-CN"/>
              </w:rPr>
            </w:pPr>
            <w:r>
              <w:rPr>
                <w:rFonts w:hint="eastAsia" w:ascii="宋体" w:hAnsi="宋体" w:cs="宋体"/>
                <w:color w:val="000000"/>
                <w:lang w:val="en-US" w:eastAsia="zh-CN"/>
              </w:rPr>
              <w:t>保洁1人</w:t>
            </w:r>
          </w:p>
        </w:tc>
      </w:tr>
      <w:tr w14:paraId="5DEEA658">
        <w:tblPrEx>
          <w:tblCellMar>
            <w:top w:w="0" w:type="dxa"/>
            <w:left w:w="108" w:type="dxa"/>
            <w:bottom w:w="0" w:type="dxa"/>
            <w:right w:w="108" w:type="dxa"/>
          </w:tblCellMar>
        </w:tblPrEx>
        <w:trPr>
          <w:trHeight w:val="481" w:hRule="atLeast"/>
        </w:trPr>
        <w:tc>
          <w:tcPr>
            <w:tcW w:w="1395" w:type="dxa"/>
            <w:vMerge w:val="continue"/>
            <w:tcBorders>
              <w:left w:val="single" w:color="000000" w:sz="4" w:space="0"/>
              <w:right w:val="single" w:color="000000" w:sz="4" w:space="0"/>
            </w:tcBorders>
            <w:noWrap w:val="0"/>
            <w:vAlign w:val="center"/>
          </w:tcPr>
          <w:p w14:paraId="19CDCFD8">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13DB88B3">
            <w:pPr>
              <w:jc w:val="center"/>
              <w:rPr>
                <w:rFonts w:hint="default" w:ascii="宋体" w:hAnsi="宋体" w:eastAsia="宋体" w:cs="宋体"/>
                <w:color w:val="000000"/>
                <w:lang w:val="en-US" w:eastAsia="zh-CN"/>
              </w:rPr>
            </w:pPr>
            <w:r>
              <w:rPr>
                <w:rFonts w:hint="eastAsia" w:ascii="宋体" w:hAnsi="宋体" w:cs="宋体"/>
                <w:color w:val="000000"/>
                <w:lang w:val="en-US" w:eastAsia="zh-CN"/>
              </w:rPr>
              <w:t>6F、5F、4F</w:t>
            </w:r>
          </w:p>
        </w:tc>
        <w:tc>
          <w:tcPr>
            <w:tcW w:w="2913" w:type="dxa"/>
            <w:tcBorders>
              <w:left w:val="single" w:color="000000" w:sz="4" w:space="0"/>
              <w:right w:val="single" w:color="000000" w:sz="4" w:space="0"/>
            </w:tcBorders>
            <w:noWrap w:val="0"/>
            <w:vAlign w:val="center"/>
          </w:tcPr>
          <w:p w14:paraId="7AA0344C">
            <w:pPr>
              <w:widowControl/>
              <w:jc w:val="center"/>
              <w:textAlignment w:val="center"/>
              <w:rPr>
                <w:rFonts w:ascii="宋体" w:hAnsi="宋体" w:cs="宋体"/>
                <w:color w:val="000000"/>
              </w:rPr>
            </w:pPr>
          </w:p>
        </w:tc>
        <w:tc>
          <w:tcPr>
            <w:tcW w:w="953" w:type="dxa"/>
            <w:vMerge w:val="continue"/>
            <w:tcBorders>
              <w:left w:val="single" w:color="000000" w:sz="4" w:space="0"/>
              <w:right w:val="single" w:color="000000" w:sz="4" w:space="0"/>
            </w:tcBorders>
            <w:noWrap w:val="0"/>
            <w:vAlign w:val="center"/>
          </w:tcPr>
          <w:p w14:paraId="0C73A8C4">
            <w:pPr>
              <w:widowControl/>
              <w:spacing w:line="240" w:lineRule="auto"/>
              <w:jc w:val="center"/>
              <w:textAlignment w:val="center"/>
              <w:rPr>
                <w:rFonts w:ascii="宋体" w:hAnsi="宋体" w:cs="宋体"/>
                <w:color w:val="000000"/>
              </w:rPr>
            </w:pP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43693B73">
            <w:pPr>
              <w:jc w:val="center"/>
              <w:rPr>
                <w:rFonts w:hint="eastAsia" w:ascii="宋体" w:hAnsi="宋体" w:cs="宋体"/>
                <w:color w:val="000000"/>
                <w:lang w:val="en-US" w:eastAsia="zh-CN"/>
              </w:rPr>
            </w:pPr>
            <w:r>
              <w:rPr>
                <w:rFonts w:hint="eastAsia" w:ascii="宋体" w:hAnsi="宋体" w:cs="宋体"/>
                <w:color w:val="000000"/>
                <w:lang w:val="en-US" w:eastAsia="zh-CN"/>
              </w:rPr>
              <w:t>保洁1人</w:t>
            </w:r>
          </w:p>
        </w:tc>
      </w:tr>
      <w:tr w14:paraId="633F99F0">
        <w:tblPrEx>
          <w:tblCellMar>
            <w:top w:w="0" w:type="dxa"/>
            <w:left w:w="108" w:type="dxa"/>
            <w:bottom w:w="0" w:type="dxa"/>
            <w:right w:w="108" w:type="dxa"/>
          </w:tblCellMar>
        </w:tblPrEx>
        <w:trPr>
          <w:trHeight w:val="481" w:hRule="atLeast"/>
        </w:trPr>
        <w:tc>
          <w:tcPr>
            <w:tcW w:w="1395" w:type="dxa"/>
            <w:vMerge w:val="continue"/>
            <w:tcBorders>
              <w:left w:val="single" w:color="000000" w:sz="4" w:space="0"/>
              <w:bottom w:val="nil"/>
              <w:right w:val="single" w:color="000000" w:sz="4" w:space="0"/>
            </w:tcBorders>
            <w:noWrap w:val="0"/>
            <w:vAlign w:val="center"/>
          </w:tcPr>
          <w:p w14:paraId="11DECD75">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3EBEDAE">
            <w:pPr>
              <w:jc w:val="center"/>
              <w:rPr>
                <w:rFonts w:hint="default" w:ascii="宋体" w:hAnsi="宋体" w:eastAsia="宋体" w:cs="宋体"/>
                <w:color w:val="000000"/>
                <w:lang w:val="en-US" w:eastAsia="zh-CN"/>
              </w:rPr>
            </w:pPr>
            <w:r>
              <w:rPr>
                <w:rFonts w:hint="eastAsia" w:ascii="宋体" w:hAnsi="宋体" w:cs="宋体"/>
                <w:color w:val="000000"/>
                <w:lang w:val="en-US" w:eastAsia="zh-CN"/>
              </w:rPr>
              <w:t>3F、2F、1F</w:t>
            </w:r>
          </w:p>
        </w:tc>
        <w:tc>
          <w:tcPr>
            <w:tcW w:w="2913" w:type="dxa"/>
            <w:tcBorders>
              <w:left w:val="single" w:color="000000" w:sz="4" w:space="0"/>
              <w:bottom w:val="single" w:color="000000" w:sz="4" w:space="0"/>
              <w:right w:val="single" w:color="000000" w:sz="4" w:space="0"/>
            </w:tcBorders>
            <w:noWrap w:val="0"/>
            <w:vAlign w:val="center"/>
          </w:tcPr>
          <w:p w14:paraId="3E335325">
            <w:pPr>
              <w:widowControl/>
              <w:jc w:val="center"/>
              <w:textAlignment w:val="center"/>
              <w:rPr>
                <w:rFonts w:ascii="宋体" w:hAnsi="宋体" w:cs="宋体"/>
                <w:color w:val="000000"/>
              </w:rPr>
            </w:pPr>
          </w:p>
        </w:tc>
        <w:tc>
          <w:tcPr>
            <w:tcW w:w="953" w:type="dxa"/>
            <w:vMerge w:val="continue"/>
            <w:tcBorders>
              <w:left w:val="single" w:color="000000" w:sz="4" w:space="0"/>
              <w:bottom w:val="single" w:color="000000" w:sz="4" w:space="0"/>
              <w:right w:val="single" w:color="000000" w:sz="4" w:space="0"/>
            </w:tcBorders>
            <w:noWrap w:val="0"/>
            <w:vAlign w:val="center"/>
          </w:tcPr>
          <w:p w14:paraId="3B9596FA">
            <w:pPr>
              <w:widowControl/>
              <w:spacing w:line="240" w:lineRule="auto"/>
              <w:jc w:val="center"/>
              <w:textAlignment w:val="center"/>
              <w:rPr>
                <w:rFonts w:ascii="宋体" w:hAnsi="宋体" w:cs="宋体"/>
                <w:color w:val="000000"/>
              </w:rPr>
            </w:pP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2339A3F9">
            <w:pPr>
              <w:jc w:val="center"/>
              <w:rPr>
                <w:rFonts w:hint="eastAsia" w:ascii="宋体" w:hAnsi="宋体" w:cs="宋体"/>
                <w:color w:val="000000"/>
                <w:lang w:val="en-US" w:eastAsia="zh-CN"/>
              </w:rPr>
            </w:pPr>
            <w:r>
              <w:rPr>
                <w:rFonts w:hint="eastAsia" w:ascii="宋体" w:hAnsi="宋体" w:cs="宋体"/>
                <w:color w:val="000000"/>
                <w:lang w:val="en-US" w:eastAsia="zh-CN"/>
              </w:rPr>
              <w:t>保洁1人</w:t>
            </w:r>
          </w:p>
        </w:tc>
      </w:tr>
      <w:tr w14:paraId="002BB0F7">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7A64FC82">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7CBC6FEA">
            <w:pPr>
              <w:jc w:val="center"/>
              <w:rPr>
                <w:rFonts w:hint="eastAsia" w:ascii="宋体" w:hAnsi="宋体" w:eastAsia="宋体" w:cs="宋体"/>
                <w:color w:val="000000"/>
                <w:lang w:val="en-US" w:eastAsia="zh-CN"/>
              </w:rPr>
            </w:pPr>
            <w:r>
              <w:rPr>
                <w:rFonts w:hint="eastAsia" w:ascii="宋体" w:hAnsi="宋体" w:cs="宋体"/>
                <w:color w:val="000000"/>
                <w:lang w:val="en-US" w:eastAsia="zh-CN"/>
              </w:rPr>
              <w:t>运送</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03064524">
            <w:pPr>
              <w:widowControl/>
              <w:jc w:val="center"/>
              <w:textAlignment w:val="center"/>
              <w:rPr>
                <w:rFonts w:ascii="宋体" w:hAnsi="宋体" w:cs="宋体"/>
                <w:color w:val="000000"/>
              </w:rPr>
            </w:pP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581D737D">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6C0E5055">
            <w:pPr>
              <w:jc w:val="center"/>
              <w:rPr>
                <w:rFonts w:hint="eastAsia" w:ascii="宋体" w:hAnsi="宋体" w:cs="宋体"/>
                <w:color w:val="000000"/>
                <w:lang w:val="en-US" w:eastAsia="zh-CN"/>
              </w:rPr>
            </w:pPr>
            <w:r>
              <w:rPr>
                <w:rFonts w:hint="eastAsia" w:ascii="宋体" w:hAnsi="宋体" w:cs="宋体"/>
                <w:color w:val="000000"/>
                <w:lang w:val="en-US" w:eastAsia="zh-CN"/>
              </w:rPr>
              <w:t>运送3人</w:t>
            </w:r>
          </w:p>
        </w:tc>
      </w:tr>
      <w:tr w14:paraId="202E33EA">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435839D2">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7287A489">
            <w:pPr>
              <w:jc w:val="center"/>
              <w:rPr>
                <w:rFonts w:hint="default" w:ascii="宋体" w:hAnsi="宋体" w:cs="宋体"/>
                <w:color w:val="000000"/>
                <w:lang w:val="en-US" w:eastAsia="zh-CN"/>
              </w:rPr>
            </w:pPr>
            <w:r>
              <w:rPr>
                <w:rFonts w:hint="eastAsia" w:ascii="宋体" w:hAnsi="宋体" w:cs="宋体"/>
                <w:color w:val="000000"/>
                <w:lang w:val="en-US" w:eastAsia="zh-CN"/>
              </w:rPr>
              <w:t>总务仓库</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596C8B67">
            <w:pPr>
              <w:widowControl/>
              <w:jc w:val="center"/>
              <w:textAlignment w:val="center"/>
              <w:rPr>
                <w:rFonts w:hint="default" w:ascii="宋体" w:hAnsi="宋体" w:eastAsia="宋体" w:cs="宋体"/>
                <w:color w:val="000000"/>
                <w:lang w:val="en-US" w:eastAsia="zh-CN"/>
              </w:rPr>
            </w:pP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01AC05DE">
            <w:pPr>
              <w:widowControl/>
              <w:spacing w:line="240" w:lineRule="auto"/>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4A049526">
            <w:pPr>
              <w:jc w:val="center"/>
              <w:rPr>
                <w:rFonts w:hint="eastAsia" w:ascii="宋体" w:hAnsi="宋体" w:cs="宋体"/>
                <w:color w:val="000000"/>
                <w:lang w:val="en-US" w:eastAsia="zh-CN"/>
              </w:rPr>
            </w:pPr>
          </w:p>
        </w:tc>
      </w:tr>
      <w:tr w14:paraId="7498A2BF">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4F5BCD7A">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2BF6DF39">
            <w:pPr>
              <w:jc w:val="center"/>
              <w:rPr>
                <w:rFonts w:hint="eastAsia" w:ascii="宋体" w:hAnsi="宋体" w:eastAsia="宋体" w:cs="宋体"/>
                <w:color w:val="000000"/>
                <w:lang w:val="en-US" w:eastAsia="zh-CN"/>
              </w:rPr>
            </w:pPr>
            <w:r>
              <w:rPr>
                <w:rFonts w:hint="eastAsia" w:ascii="宋体" w:hAnsi="宋体" w:cs="宋体"/>
                <w:color w:val="000000"/>
                <w:lang w:val="en-US" w:eastAsia="zh-CN"/>
              </w:rPr>
              <w:t>制剂室</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12419361">
            <w:pPr>
              <w:widowControl/>
              <w:jc w:val="center"/>
              <w:textAlignment w:val="center"/>
              <w:rPr>
                <w:rFonts w:ascii="宋体" w:hAnsi="宋体" w:cs="宋体"/>
                <w:color w:val="000000"/>
              </w:rPr>
            </w:pP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36C23B9">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5</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FAC8D24">
            <w:pPr>
              <w:jc w:val="center"/>
              <w:rPr>
                <w:rFonts w:hint="eastAsia" w:ascii="宋体" w:hAnsi="宋体" w:cs="宋体"/>
                <w:color w:val="000000"/>
                <w:lang w:val="en-US" w:eastAsia="zh-CN"/>
              </w:rPr>
            </w:pPr>
            <w:r>
              <w:rPr>
                <w:rFonts w:hint="eastAsia" w:ascii="宋体" w:hAnsi="宋体" w:cs="宋体"/>
                <w:color w:val="000000"/>
                <w:lang w:val="en-US" w:eastAsia="zh-CN"/>
              </w:rPr>
              <w:t>保洁5人</w:t>
            </w:r>
          </w:p>
        </w:tc>
      </w:tr>
      <w:tr w14:paraId="5300D92D">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2D6737AA">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73BED17">
            <w:pPr>
              <w:jc w:val="center"/>
              <w:rPr>
                <w:rFonts w:hint="eastAsia" w:ascii="宋体" w:hAnsi="宋体" w:eastAsia="宋体" w:cs="宋体"/>
                <w:color w:val="000000"/>
                <w:lang w:val="en-US" w:eastAsia="zh-CN"/>
              </w:rPr>
            </w:pPr>
            <w:r>
              <w:rPr>
                <w:rFonts w:hint="eastAsia" w:ascii="宋体" w:hAnsi="宋体" w:cs="宋体"/>
                <w:color w:val="000000"/>
                <w:lang w:val="en-US" w:eastAsia="zh-CN"/>
              </w:rPr>
              <w:t>洗衣房</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15B00BC2">
            <w:pPr>
              <w:widowControl/>
              <w:jc w:val="center"/>
              <w:textAlignment w:val="center"/>
              <w:rPr>
                <w:rFonts w:ascii="宋体" w:hAnsi="宋体" w:cs="宋体"/>
                <w:color w:val="000000"/>
              </w:rPr>
            </w:pP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559986CB">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48BA9CA5">
            <w:pPr>
              <w:jc w:val="center"/>
              <w:rPr>
                <w:rFonts w:hint="eastAsia" w:ascii="宋体" w:hAnsi="宋体" w:cs="宋体"/>
                <w:color w:val="000000"/>
                <w:lang w:val="en-US" w:eastAsia="zh-CN"/>
              </w:rPr>
            </w:pPr>
            <w:r>
              <w:rPr>
                <w:rFonts w:hint="eastAsia" w:ascii="宋体" w:hAnsi="宋体" w:cs="宋体"/>
                <w:color w:val="000000"/>
                <w:lang w:val="en-US" w:eastAsia="zh-CN"/>
              </w:rPr>
              <w:t>保洁2人</w:t>
            </w:r>
          </w:p>
        </w:tc>
      </w:tr>
      <w:tr w14:paraId="0CA03220">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73EE6E05">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3774ACD">
            <w:pPr>
              <w:jc w:val="center"/>
              <w:rPr>
                <w:rFonts w:hint="eastAsia" w:ascii="宋体" w:hAnsi="宋体" w:eastAsia="宋体" w:cs="宋体"/>
                <w:color w:val="000000"/>
                <w:lang w:val="en-US" w:eastAsia="zh-CN"/>
              </w:rPr>
            </w:pPr>
            <w:r>
              <w:rPr>
                <w:rFonts w:hint="eastAsia" w:ascii="宋体" w:hAnsi="宋体" w:cs="宋体"/>
                <w:color w:val="000000"/>
                <w:lang w:val="en-US" w:eastAsia="zh-CN"/>
              </w:rPr>
              <w:t>供应室</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24813041">
            <w:pPr>
              <w:widowControl/>
              <w:jc w:val="center"/>
              <w:textAlignment w:val="center"/>
              <w:rPr>
                <w:rFonts w:ascii="宋体" w:hAnsi="宋体" w:cs="宋体"/>
                <w:color w:val="000000"/>
              </w:rPr>
            </w:pP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2FA7A43">
            <w:pPr>
              <w:widowControl/>
              <w:spacing w:line="240" w:lineRule="auto"/>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0D2B660D">
            <w:pPr>
              <w:jc w:val="center"/>
              <w:rPr>
                <w:rFonts w:hint="eastAsia" w:ascii="宋体" w:hAnsi="宋体" w:cs="宋体"/>
                <w:color w:val="000000"/>
                <w:lang w:val="en-US" w:eastAsia="zh-CN"/>
              </w:rPr>
            </w:pPr>
            <w:r>
              <w:rPr>
                <w:rFonts w:hint="eastAsia" w:ascii="宋体" w:hAnsi="宋体" w:cs="宋体"/>
                <w:color w:val="000000"/>
                <w:lang w:val="en-US" w:eastAsia="zh-CN"/>
              </w:rPr>
              <w:t>保洁2人</w:t>
            </w:r>
          </w:p>
        </w:tc>
      </w:tr>
      <w:tr w14:paraId="73FCF22F">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47D5DE08">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1669620F">
            <w:pPr>
              <w:jc w:val="center"/>
              <w:rPr>
                <w:rFonts w:hint="default" w:ascii="宋体" w:hAnsi="宋体" w:cs="宋体"/>
                <w:color w:val="000000"/>
                <w:lang w:val="en-US" w:eastAsia="zh-CN"/>
              </w:rPr>
            </w:pPr>
            <w:r>
              <w:rPr>
                <w:rFonts w:hint="eastAsia" w:ascii="宋体" w:hAnsi="宋体" w:cs="宋体"/>
                <w:color w:val="000000"/>
                <w:lang w:val="en-US" w:eastAsia="zh-CN"/>
              </w:rPr>
              <w:t>专项</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6AA9BDAB">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专项洗地</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72C9AFD5">
            <w:pPr>
              <w:widowControl/>
              <w:spacing w:line="240" w:lineRule="auto"/>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3FBFA87D">
            <w:pPr>
              <w:jc w:val="center"/>
              <w:rPr>
                <w:rFonts w:hint="eastAsia" w:ascii="宋体" w:hAnsi="宋体" w:cs="宋体"/>
                <w:color w:val="000000"/>
                <w:lang w:val="en-US" w:eastAsia="zh-CN"/>
              </w:rPr>
            </w:pPr>
            <w:r>
              <w:rPr>
                <w:rFonts w:hint="eastAsia" w:ascii="宋体" w:hAnsi="宋体" w:cs="宋体"/>
                <w:color w:val="000000"/>
                <w:lang w:val="en-US" w:eastAsia="zh-CN"/>
              </w:rPr>
              <w:t>保洁2人</w:t>
            </w:r>
          </w:p>
        </w:tc>
      </w:tr>
      <w:tr w14:paraId="45806321">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5F28A820">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10183377">
            <w:pPr>
              <w:jc w:val="center"/>
              <w:rPr>
                <w:rFonts w:hint="default" w:ascii="宋体" w:hAnsi="宋体" w:cs="宋体"/>
                <w:color w:val="000000"/>
                <w:lang w:val="en-US" w:eastAsia="zh-CN"/>
              </w:rPr>
            </w:pPr>
            <w:r>
              <w:rPr>
                <w:rFonts w:hint="eastAsia" w:ascii="宋体" w:hAnsi="宋体" w:cs="宋体"/>
                <w:color w:val="000000"/>
                <w:lang w:val="en-US" w:eastAsia="zh-CN"/>
              </w:rPr>
              <w:t>专项</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398EC7C2">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不锈钢打油、高空除尘</w:t>
            </w:r>
          </w:p>
        </w:tc>
        <w:tc>
          <w:tcPr>
            <w:tcW w:w="953" w:type="dxa"/>
            <w:vMerge w:val="restart"/>
            <w:tcBorders>
              <w:top w:val="single" w:color="000000" w:sz="4" w:space="0"/>
              <w:left w:val="single" w:color="000000" w:sz="4" w:space="0"/>
              <w:right w:val="single" w:color="000000" w:sz="4" w:space="0"/>
            </w:tcBorders>
            <w:noWrap w:val="0"/>
            <w:vAlign w:val="center"/>
          </w:tcPr>
          <w:p w14:paraId="0C8FD9E4">
            <w:pPr>
              <w:widowControl/>
              <w:spacing w:line="240" w:lineRule="auto"/>
              <w:jc w:val="center"/>
              <w:textAlignment w:val="center"/>
              <w:rPr>
                <w:rFonts w:hint="eastAsia" w:ascii="宋体" w:hAnsi="宋体" w:cs="宋体"/>
                <w:color w:val="000000"/>
                <w:lang w:val="en-US" w:eastAsia="zh-CN"/>
              </w:rPr>
            </w:pPr>
          </w:p>
          <w:p w14:paraId="43C180DC">
            <w:pPr>
              <w:widowControl/>
              <w:spacing w:line="240" w:lineRule="auto"/>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6CF609F1">
            <w:pPr>
              <w:jc w:val="center"/>
              <w:rPr>
                <w:rFonts w:hint="eastAsia" w:ascii="宋体" w:hAnsi="宋体" w:cs="宋体"/>
                <w:color w:val="000000"/>
                <w:lang w:val="en-US" w:eastAsia="zh-CN"/>
              </w:rPr>
            </w:pPr>
            <w:r>
              <w:rPr>
                <w:rFonts w:hint="eastAsia" w:ascii="宋体" w:hAnsi="宋体" w:cs="宋体"/>
                <w:color w:val="000000"/>
                <w:lang w:val="en-US" w:eastAsia="zh-CN"/>
              </w:rPr>
              <w:t>保洁1人</w:t>
            </w:r>
          </w:p>
        </w:tc>
      </w:tr>
      <w:tr w14:paraId="000E6DC2">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0CD2F342">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39D38153">
            <w:pPr>
              <w:jc w:val="center"/>
              <w:rPr>
                <w:rFonts w:hint="default" w:ascii="宋体" w:hAnsi="宋体" w:cs="宋体"/>
                <w:color w:val="000000"/>
                <w:lang w:val="en-US" w:eastAsia="zh-CN"/>
              </w:rPr>
            </w:pPr>
            <w:r>
              <w:rPr>
                <w:rFonts w:hint="eastAsia" w:ascii="宋体" w:hAnsi="宋体" w:cs="宋体"/>
                <w:color w:val="000000"/>
                <w:lang w:val="en-US" w:eastAsia="zh-CN"/>
              </w:rPr>
              <w:t>专项</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61B75154">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玻璃清洁</w:t>
            </w:r>
          </w:p>
        </w:tc>
        <w:tc>
          <w:tcPr>
            <w:tcW w:w="953" w:type="dxa"/>
            <w:vMerge w:val="continue"/>
            <w:tcBorders>
              <w:left w:val="single" w:color="000000" w:sz="4" w:space="0"/>
              <w:bottom w:val="single" w:color="000000" w:sz="4" w:space="0"/>
              <w:right w:val="single" w:color="000000" w:sz="4" w:space="0"/>
            </w:tcBorders>
            <w:noWrap w:val="0"/>
            <w:vAlign w:val="center"/>
          </w:tcPr>
          <w:p w14:paraId="553DB2D4">
            <w:pPr>
              <w:widowControl/>
              <w:spacing w:line="240" w:lineRule="auto"/>
              <w:jc w:val="center"/>
              <w:textAlignment w:val="center"/>
              <w:rPr>
                <w:rFonts w:hint="default" w:ascii="宋体" w:hAnsi="宋体" w:cs="宋体"/>
                <w:color w:val="000000"/>
                <w:lang w:val="en-US" w:eastAsia="zh-CN"/>
              </w:rPr>
            </w:pP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6E6FF045">
            <w:pPr>
              <w:jc w:val="center"/>
              <w:rPr>
                <w:rFonts w:hint="eastAsia" w:ascii="宋体" w:hAnsi="宋体" w:cs="宋体"/>
                <w:color w:val="000000"/>
                <w:lang w:val="en-US" w:eastAsia="zh-CN"/>
              </w:rPr>
            </w:pPr>
            <w:r>
              <w:rPr>
                <w:rFonts w:hint="eastAsia" w:ascii="宋体" w:hAnsi="宋体" w:cs="宋体"/>
                <w:color w:val="000000"/>
                <w:lang w:val="en-US" w:eastAsia="zh-CN"/>
              </w:rPr>
              <w:t>保洁1人</w:t>
            </w:r>
          </w:p>
        </w:tc>
      </w:tr>
      <w:tr w14:paraId="1EC16F43">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03890032">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4785210">
            <w:pPr>
              <w:jc w:val="center"/>
              <w:rPr>
                <w:rFonts w:hint="default" w:ascii="宋体" w:hAnsi="宋体" w:cs="宋体"/>
                <w:color w:val="000000"/>
                <w:lang w:val="en-US" w:eastAsia="zh-CN"/>
              </w:rPr>
            </w:pPr>
            <w:r>
              <w:rPr>
                <w:rFonts w:hint="eastAsia" w:ascii="宋体" w:hAnsi="宋体" w:cs="宋体"/>
                <w:color w:val="000000"/>
                <w:lang w:val="en-US" w:eastAsia="zh-CN"/>
              </w:rPr>
              <w:t>工程</w:t>
            </w: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3991DB83">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工程维修</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3707465E">
            <w:pPr>
              <w:widowControl/>
              <w:spacing w:line="240" w:lineRule="auto"/>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6F783134">
            <w:pPr>
              <w:jc w:val="center"/>
              <w:rPr>
                <w:rFonts w:hint="eastAsia" w:ascii="宋体" w:hAnsi="宋体" w:cs="宋体"/>
                <w:color w:val="000000"/>
                <w:lang w:val="en-US" w:eastAsia="zh-CN"/>
              </w:rPr>
            </w:pPr>
            <w:r>
              <w:rPr>
                <w:rFonts w:hint="eastAsia" w:ascii="宋体" w:hAnsi="宋体" w:cs="宋体"/>
                <w:color w:val="000000"/>
                <w:lang w:val="en-US" w:eastAsia="zh-CN"/>
              </w:rPr>
              <w:t>水电1人</w:t>
            </w:r>
          </w:p>
        </w:tc>
      </w:tr>
      <w:tr w14:paraId="4F3B6598">
        <w:tblPrEx>
          <w:tblCellMar>
            <w:top w:w="0" w:type="dxa"/>
            <w:left w:w="108" w:type="dxa"/>
            <w:bottom w:w="0" w:type="dxa"/>
            <w:right w:w="108" w:type="dxa"/>
          </w:tblCellMar>
        </w:tblPrEx>
        <w:trPr>
          <w:trHeight w:val="481" w:hRule="atLeast"/>
        </w:trPr>
        <w:tc>
          <w:tcPr>
            <w:tcW w:w="1395" w:type="dxa"/>
            <w:tcBorders>
              <w:top w:val="single" w:color="000000" w:sz="4" w:space="0"/>
              <w:left w:val="single" w:color="000000" w:sz="4" w:space="0"/>
              <w:bottom w:val="nil"/>
              <w:right w:val="single" w:color="000000" w:sz="4" w:space="0"/>
            </w:tcBorders>
            <w:noWrap w:val="0"/>
            <w:vAlign w:val="center"/>
          </w:tcPr>
          <w:p w14:paraId="527391C0">
            <w:pPr>
              <w:jc w:val="center"/>
              <w:rPr>
                <w:rFonts w:ascii="宋体" w:hAnsi="宋体" w:cs="宋体"/>
                <w:color w:val="000000"/>
              </w:rPr>
            </w:pP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AB47183">
            <w:pPr>
              <w:jc w:val="center"/>
              <w:rPr>
                <w:rFonts w:hint="eastAsia" w:ascii="宋体" w:hAnsi="宋体" w:cs="宋体"/>
                <w:color w:val="000000"/>
                <w:lang w:val="en-US" w:eastAsia="zh-CN"/>
              </w:rPr>
            </w:pPr>
          </w:p>
        </w:tc>
        <w:tc>
          <w:tcPr>
            <w:tcW w:w="2913" w:type="dxa"/>
            <w:tcBorders>
              <w:top w:val="single" w:color="000000" w:sz="4" w:space="0"/>
              <w:left w:val="single" w:color="000000" w:sz="4" w:space="0"/>
              <w:bottom w:val="single" w:color="000000" w:sz="4" w:space="0"/>
              <w:right w:val="single" w:color="000000" w:sz="4" w:space="0"/>
            </w:tcBorders>
            <w:noWrap w:val="0"/>
            <w:vAlign w:val="center"/>
          </w:tcPr>
          <w:p w14:paraId="4D6CC0C5">
            <w:pPr>
              <w:widowControl/>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合计</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2C1A0985">
            <w:pPr>
              <w:widowControl/>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82</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DFD137C">
            <w:pPr>
              <w:jc w:val="center"/>
              <w:rPr>
                <w:rFonts w:hint="eastAsia" w:ascii="宋体" w:hAnsi="宋体" w:cs="宋体"/>
                <w:color w:val="000000"/>
                <w:lang w:val="en-US" w:eastAsia="zh-CN"/>
              </w:rPr>
            </w:pPr>
          </w:p>
        </w:tc>
      </w:tr>
    </w:tbl>
    <w:p w14:paraId="05E734C3"/>
    <w:p w14:paraId="488519FB">
      <w:pPr>
        <w:widowControl/>
        <w:spacing w:line="480" w:lineRule="exact"/>
        <w:rPr>
          <w:rFonts w:ascii="宋体" w:hAnsi="宋体"/>
          <w:b/>
          <w:sz w:val="28"/>
          <w:szCs w:val="28"/>
        </w:rPr>
      </w:pPr>
      <w:r>
        <w:rPr>
          <w:rFonts w:hint="eastAsia" w:ascii="仿宋_GB2312" w:hAnsi="宋体" w:cs="宋体"/>
          <w:b/>
          <w:color w:val="000000"/>
          <w:sz w:val="28"/>
          <w:szCs w:val="28"/>
        </w:rPr>
        <w:t>2、</w:t>
      </w:r>
      <w:r>
        <w:rPr>
          <w:rFonts w:hint="eastAsia" w:ascii="仿宋_GB2312" w:hAnsi="宋体" w:cs="宋体"/>
          <w:b/>
          <w:color w:val="000000"/>
          <w:sz w:val="28"/>
          <w:szCs w:val="28"/>
          <w:lang w:val="en-US" w:eastAsia="zh-CN"/>
        </w:rPr>
        <w:t>妇保院</w:t>
      </w:r>
      <w:r>
        <w:rPr>
          <w:rFonts w:hint="eastAsia" w:ascii="仿宋_GB2312" w:hAnsi="宋体" w:cs="宋体"/>
          <w:b/>
          <w:color w:val="000000"/>
          <w:sz w:val="28"/>
          <w:szCs w:val="28"/>
        </w:rPr>
        <w:t>各部门岗位人员明细表</w:t>
      </w:r>
      <w:r>
        <w:rPr>
          <w:rFonts w:hint="eastAsia" w:ascii="仿宋_GB2312" w:hAnsi="宋体" w:cs="宋体"/>
          <w:b/>
          <w:color w:val="000000"/>
          <w:sz w:val="28"/>
          <w:szCs w:val="28"/>
          <w:lang w:val="en-US" w:eastAsia="zh-CN"/>
        </w:rPr>
        <w:t>：</w:t>
      </w:r>
    </w:p>
    <w:p w14:paraId="32A92ABD"/>
    <w:tbl>
      <w:tblPr>
        <w:tblStyle w:val="18"/>
        <w:tblW w:w="8790" w:type="dxa"/>
        <w:tblInd w:w="93" w:type="dxa"/>
        <w:tblLayout w:type="fixed"/>
        <w:tblCellMar>
          <w:top w:w="0" w:type="dxa"/>
          <w:left w:w="108" w:type="dxa"/>
          <w:bottom w:w="0" w:type="dxa"/>
          <w:right w:w="108" w:type="dxa"/>
        </w:tblCellMar>
      </w:tblPr>
      <w:tblGrid>
        <w:gridCol w:w="1395"/>
        <w:gridCol w:w="900"/>
        <w:gridCol w:w="3005"/>
        <w:gridCol w:w="953"/>
        <w:gridCol w:w="2537"/>
      </w:tblGrid>
      <w:tr w14:paraId="25B1075C">
        <w:tblPrEx>
          <w:tblCellMar>
            <w:top w:w="0" w:type="dxa"/>
            <w:left w:w="108" w:type="dxa"/>
            <w:bottom w:w="0" w:type="dxa"/>
            <w:right w:w="108" w:type="dxa"/>
          </w:tblCellMar>
        </w:tblPrEx>
        <w:trPr>
          <w:trHeight w:val="624" w:hRule="atLeast"/>
        </w:trPr>
        <w:tc>
          <w:tcPr>
            <w:tcW w:w="8790" w:type="dxa"/>
            <w:gridSpan w:val="5"/>
            <w:tcBorders>
              <w:top w:val="single" w:color="000000" w:sz="4" w:space="0"/>
              <w:left w:val="single" w:color="000000" w:sz="4" w:space="0"/>
              <w:bottom w:val="single" w:color="000000" w:sz="4" w:space="0"/>
              <w:right w:val="single" w:color="000000" w:sz="4" w:space="0"/>
            </w:tcBorders>
            <w:noWrap w:val="0"/>
            <w:vAlign w:val="center"/>
          </w:tcPr>
          <w:p w14:paraId="09446FA9">
            <w:pPr>
              <w:widowControl/>
              <w:jc w:val="center"/>
              <w:textAlignment w:val="center"/>
              <w:rPr>
                <w:rFonts w:ascii="宋体" w:hAnsi="宋体" w:cs="宋体"/>
                <w:color w:val="000000"/>
              </w:rPr>
            </w:pPr>
            <w:r>
              <w:rPr>
                <w:rFonts w:hint="eastAsia" w:ascii="宋体" w:hAnsi="宋体" w:cs="宋体"/>
                <w:color w:val="000000"/>
              </w:rPr>
              <w:t>岗位人员明细</w:t>
            </w:r>
          </w:p>
        </w:tc>
      </w:tr>
      <w:tr w14:paraId="4ACFEB55">
        <w:tblPrEx>
          <w:tblCellMar>
            <w:top w:w="0" w:type="dxa"/>
            <w:left w:w="108" w:type="dxa"/>
            <w:bottom w:w="0" w:type="dxa"/>
            <w:right w:w="108" w:type="dxa"/>
          </w:tblCellMar>
        </w:tblPrEx>
        <w:trPr>
          <w:trHeight w:val="624" w:hRule="atLeast"/>
        </w:trPr>
        <w:tc>
          <w:tcPr>
            <w:tcW w:w="1395" w:type="dxa"/>
            <w:tcBorders>
              <w:top w:val="single" w:color="000000" w:sz="4" w:space="0"/>
              <w:left w:val="single" w:color="000000" w:sz="4" w:space="0"/>
              <w:bottom w:val="single" w:color="000000" w:sz="4" w:space="0"/>
              <w:right w:val="single" w:color="000000" w:sz="4" w:space="0"/>
            </w:tcBorders>
            <w:noWrap w:val="0"/>
            <w:vAlign w:val="center"/>
          </w:tcPr>
          <w:p w14:paraId="060E33F3">
            <w:pPr>
              <w:widowControl/>
              <w:jc w:val="center"/>
              <w:textAlignment w:val="center"/>
              <w:rPr>
                <w:rFonts w:ascii="宋体" w:hAnsi="宋体" w:cs="宋体"/>
                <w:color w:val="000000"/>
              </w:rPr>
            </w:pPr>
            <w:r>
              <w:rPr>
                <w:rFonts w:hint="eastAsia" w:ascii="宋体" w:hAnsi="宋体" w:cs="宋体"/>
                <w:color w:val="000000"/>
              </w:rPr>
              <w:t>区域</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C8E94BB">
            <w:pPr>
              <w:widowControl/>
              <w:jc w:val="center"/>
              <w:textAlignment w:val="center"/>
              <w:rPr>
                <w:rFonts w:ascii="宋体" w:hAnsi="宋体" w:cs="宋体"/>
                <w:color w:val="000000"/>
              </w:rPr>
            </w:pPr>
            <w:r>
              <w:rPr>
                <w:rFonts w:hint="eastAsia" w:ascii="宋体" w:hAnsi="宋体" w:cs="宋体"/>
                <w:color w:val="000000"/>
              </w:rPr>
              <w:t>楼层</w:t>
            </w:r>
          </w:p>
        </w:tc>
        <w:tc>
          <w:tcPr>
            <w:tcW w:w="3005" w:type="dxa"/>
            <w:tcBorders>
              <w:top w:val="single" w:color="000000" w:sz="4" w:space="0"/>
              <w:left w:val="single" w:color="000000" w:sz="4" w:space="0"/>
              <w:bottom w:val="single" w:color="000000" w:sz="4" w:space="0"/>
              <w:right w:val="single" w:color="000000" w:sz="4" w:space="0"/>
            </w:tcBorders>
            <w:noWrap w:val="0"/>
            <w:vAlign w:val="center"/>
          </w:tcPr>
          <w:p w14:paraId="1DB6B5F5">
            <w:pPr>
              <w:widowControl/>
              <w:jc w:val="center"/>
              <w:textAlignment w:val="center"/>
              <w:rPr>
                <w:rFonts w:hint="eastAsia" w:ascii="宋体" w:hAnsi="宋体" w:eastAsia="宋体" w:cs="宋体"/>
                <w:color w:val="000000"/>
                <w:lang w:val="en-US" w:eastAsia="zh-CN"/>
              </w:rPr>
            </w:pPr>
            <w:r>
              <w:rPr>
                <w:rFonts w:hint="eastAsia" w:ascii="宋体" w:hAnsi="宋体" w:cs="宋体"/>
                <w:color w:val="000000"/>
              </w:rPr>
              <w:t>工作区域</w:t>
            </w:r>
            <w:r>
              <w:rPr>
                <w:rFonts w:hint="eastAsia" w:ascii="宋体" w:hAnsi="宋体" w:cs="宋体"/>
                <w:color w:val="000000"/>
                <w:lang w:eastAsia="zh-CN"/>
              </w:rPr>
              <w:t>及内容</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7D42DA30">
            <w:pPr>
              <w:widowControl/>
              <w:jc w:val="center"/>
              <w:textAlignment w:val="center"/>
              <w:rPr>
                <w:rFonts w:ascii="宋体" w:hAnsi="宋体" w:cs="宋体"/>
                <w:color w:val="000000"/>
              </w:rPr>
            </w:pPr>
            <w:r>
              <w:rPr>
                <w:rFonts w:hint="eastAsia" w:ascii="宋体" w:hAnsi="宋体" w:cs="宋体"/>
                <w:color w:val="000000"/>
              </w:rPr>
              <w:t>人数</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79D82E02">
            <w:pPr>
              <w:widowControl/>
              <w:jc w:val="center"/>
              <w:textAlignment w:val="center"/>
              <w:rPr>
                <w:rFonts w:hint="eastAsia" w:ascii="宋体" w:hAnsi="宋体" w:cs="宋体"/>
                <w:color w:val="000000"/>
              </w:rPr>
            </w:pPr>
            <w:r>
              <w:rPr>
                <w:rFonts w:hint="eastAsia" w:ascii="宋体" w:hAnsi="宋体" w:cs="宋体"/>
                <w:color w:val="000000"/>
              </w:rPr>
              <w:t>工作内容</w:t>
            </w:r>
          </w:p>
        </w:tc>
      </w:tr>
      <w:tr w14:paraId="15C3841C">
        <w:tblPrEx>
          <w:tblCellMar>
            <w:top w:w="0" w:type="dxa"/>
            <w:left w:w="108" w:type="dxa"/>
            <w:bottom w:w="0" w:type="dxa"/>
            <w:right w:w="108" w:type="dxa"/>
          </w:tblCellMar>
        </w:tblPrEx>
        <w:trPr>
          <w:trHeight w:val="624" w:hRule="atLeast"/>
        </w:trPr>
        <w:tc>
          <w:tcPr>
            <w:tcW w:w="1395" w:type="dxa"/>
            <w:vMerge w:val="restart"/>
            <w:tcBorders>
              <w:top w:val="single" w:color="000000" w:sz="4" w:space="0"/>
              <w:left w:val="single" w:color="000000" w:sz="4" w:space="0"/>
              <w:right w:val="single" w:color="000000" w:sz="4" w:space="0"/>
            </w:tcBorders>
            <w:noWrap w:val="0"/>
            <w:vAlign w:val="center"/>
          </w:tcPr>
          <w:p w14:paraId="0EE7ECAC">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妇幼保健院大楼</w:t>
            </w:r>
          </w:p>
        </w:tc>
        <w:tc>
          <w:tcPr>
            <w:tcW w:w="900" w:type="dxa"/>
            <w:vMerge w:val="restart"/>
            <w:tcBorders>
              <w:top w:val="single" w:color="000000" w:sz="4" w:space="0"/>
              <w:left w:val="single" w:color="000000" w:sz="4" w:space="0"/>
              <w:right w:val="single" w:color="000000" w:sz="4" w:space="0"/>
            </w:tcBorders>
            <w:noWrap/>
            <w:vAlign w:val="center"/>
          </w:tcPr>
          <w:p w14:paraId="69AADF08">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1-9F</w:t>
            </w:r>
          </w:p>
        </w:tc>
        <w:tc>
          <w:tcPr>
            <w:tcW w:w="3005" w:type="dxa"/>
            <w:tcBorders>
              <w:top w:val="single" w:color="000000" w:sz="4" w:space="0"/>
              <w:left w:val="single" w:color="000000" w:sz="4" w:space="0"/>
              <w:bottom w:val="single" w:color="000000" w:sz="4" w:space="0"/>
              <w:right w:val="single" w:color="000000" w:sz="4" w:space="0"/>
            </w:tcBorders>
            <w:noWrap w:val="0"/>
            <w:vAlign w:val="center"/>
          </w:tcPr>
          <w:p w14:paraId="4F592A6E">
            <w:pPr>
              <w:widowControl/>
              <w:jc w:val="center"/>
              <w:textAlignment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严格按《物业管理条例》等行业规范要求开展工作。除常规工作外，还需承担：1.每日安排专人去婚孕检中心收取体检标本及医疗废物；幼儿园体检期间，安排专人收取体检标本及医疗废物，运输途中严格按规范处置；2.服从突发性、临时性工作安排等。</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1A457E13">
            <w:pPr>
              <w:widowControl/>
              <w:jc w:val="center"/>
              <w:textAlignment w:val="center"/>
              <w:rPr>
                <w:rFonts w:hint="default" w:ascii="宋体" w:hAnsi="宋体" w:eastAsia="宋体" w:cs="宋体"/>
                <w:color w:val="000000"/>
                <w:lang w:val="en-US" w:eastAsia="zh-CN"/>
              </w:rPr>
            </w:pPr>
            <w:r>
              <w:rPr>
                <w:rFonts w:hint="eastAsia" w:ascii="宋体" w:hAnsi="宋体" w:cs="宋体"/>
                <w:color w:val="000000"/>
                <w:lang w:val="en-US" w:eastAsia="zh-CN"/>
              </w:rPr>
              <w:t>13</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13151984">
            <w:pPr>
              <w:widowControl/>
              <w:jc w:val="center"/>
              <w:textAlignment w:val="center"/>
              <w:rPr>
                <w:rFonts w:hint="eastAsia" w:ascii="宋体" w:hAnsi="宋体" w:eastAsia="宋体" w:cs="宋体"/>
                <w:color w:val="000000"/>
                <w:lang w:val="en-US" w:eastAsia="zh-CN"/>
              </w:rPr>
            </w:pPr>
            <w:r>
              <w:rPr>
                <w:rFonts w:hint="eastAsia" w:ascii="宋体" w:hAnsi="宋体" w:cs="宋体"/>
                <w:color w:val="000000"/>
                <w:lang w:val="en-US" w:eastAsia="zh-CN"/>
              </w:rPr>
              <w:t>保洁</w:t>
            </w:r>
          </w:p>
        </w:tc>
      </w:tr>
      <w:tr w14:paraId="119A9F9A">
        <w:tblPrEx>
          <w:tblCellMar>
            <w:top w:w="0" w:type="dxa"/>
            <w:left w:w="108" w:type="dxa"/>
            <w:bottom w:w="0" w:type="dxa"/>
            <w:right w:w="108" w:type="dxa"/>
          </w:tblCellMar>
        </w:tblPrEx>
        <w:trPr>
          <w:trHeight w:val="624" w:hRule="atLeast"/>
        </w:trPr>
        <w:tc>
          <w:tcPr>
            <w:tcW w:w="1395" w:type="dxa"/>
            <w:vMerge w:val="continue"/>
            <w:tcBorders>
              <w:left w:val="single" w:color="000000" w:sz="4" w:space="0"/>
              <w:bottom w:val="single" w:color="000000" w:sz="4" w:space="0"/>
              <w:right w:val="single" w:color="000000" w:sz="4" w:space="0"/>
            </w:tcBorders>
            <w:noWrap w:val="0"/>
            <w:vAlign w:val="center"/>
          </w:tcPr>
          <w:p w14:paraId="283907E3">
            <w:pPr>
              <w:widowControl/>
              <w:jc w:val="center"/>
              <w:textAlignment w:val="center"/>
              <w:rPr>
                <w:rFonts w:hint="eastAsia" w:ascii="宋体" w:hAnsi="宋体" w:cs="宋体"/>
                <w:color w:val="000000"/>
                <w:lang w:val="en-US" w:eastAsia="zh-CN"/>
              </w:rPr>
            </w:pPr>
          </w:p>
        </w:tc>
        <w:tc>
          <w:tcPr>
            <w:tcW w:w="900" w:type="dxa"/>
            <w:vMerge w:val="continue"/>
            <w:tcBorders>
              <w:left w:val="single" w:color="000000" w:sz="4" w:space="0"/>
              <w:bottom w:val="single" w:color="000000" w:sz="4" w:space="0"/>
              <w:right w:val="single" w:color="000000" w:sz="4" w:space="0"/>
            </w:tcBorders>
            <w:noWrap/>
            <w:vAlign w:val="center"/>
          </w:tcPr>
          <w:p w14:paraId="3D5BE10D">
            <w:pPr>
              <w:widowControl/>
              <w:jc w:val="center"/>
              <w:textAlignment w:val="center"/>
              <w:rPr>
                <w:rFonts w:hint="eastAsia" w:ascii="宋体" w:hAnsi="宋体" w:cs="宋体"/>
                <w:color w:val="000000"/>
                <w:lang w:val="en-US" w:eastAsia="zh-CN"/>
              </w:rPr>
            </w:pPr>
          </w:p>
        </w:tc>
        <w:tc>
          <w:tcPr>
            <w:tcW w:w="3005" w:type="dxa"/>
            <w:tcBorders>
              <w:top w:val="single" w:color="000000" w:sz="4" w:space="0"/>
              <w:left w:val="single" w:color="000000" w:sz="4" w:space="0"/>
              <w:bottom w:val="single" w:color="000000" w:sz="4" w:space="0"/>
              <w:right w:val="single" w:color="000000" w:sz="4" w:space="0"/>
            </w:tcBorders>
            <w:noWrap w:val="0"/>
            <w:vAlign w:val="center"/>
          </w:tcPr>
          <w:p w14:paraId="38470153">
            <w:pPr>
              <w:widowControl/>
              <w:jc w:val="center"/>
              <w:textAlignment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水电维修、</w:t>
            </w:r>
            <w:r>
              <w:rPr>
                <w:rFonts w:hint="eastAsia" w:ascii="宋体" w:hAnsi="宋体" w:eastAsia="宋体" w:cs="宋体"/>
                <w:color w:val="000000"/>
                <w:sz w:val="18"/>
                <w:szCs w:val="18"/>
                <w:lang w:val="en-US" w:eastAsia="zh-CN"/>
              </w:rPr>
              <w:t>服从突发性、临时性工作安排等。</w:t>
            </w:r>
          </w:p>
        </w:tc>
        <w:tc>
          <w:tcPr>
            <w:tcW w:w="953" w:type="dxa"/>
            <w:tcBorders>
              <w:top w:val="single" w:color="000000" w:sz="4" w:space="0"/>
              <w:left w:val="single" w:color="000000" w:sz="4" w:space="0"/>
              <w:bottom w:val="single" w:color="000000" w:sz="4" w:space="0"/>
              <w:right w:val="single" w:color="000000" w:sz="4" w:space="0"/>
            </w:tcBorders>
            <w:noWrap w:val="0"/>
            <w:vAlign w:val="center"/>
          </w:tcPr>
          <w:p w14:paraId="4AD8FEE6">
            <w:pPr>
              <w:widowControl/>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1</w:t>
            </w:r>
          </w:p>
        </w:tc>
        <w:tc>
          <w:tcPr>
            <w:tcW w:w="2537" w:type="dxa"/>
            <w:tcBorders>
              <w:top w:val="single" w:color="000000" w:sz="4" w:space="0"/>
              <w:left w:val="single" w:color="000000" w:sz="4" w:space="0"/>
              <w:bottom w:val="single" w:color="000000" w:sz="4" w:space="0"/>
              <w:right w:val="single" w:color="000000" w:sz="4" w:space="0"/>
            </w:tcBorders>
            <w:noWrap w:val="0"/>
            <w:vAlign w:val="center"/>
          </w:tcPr>
          <w:p w14:paraId="3FC31E61">
            <w:pPr>
              <w:widowControl/>
              <w:jc w:val="center"/>
              <w:textAlignment w:val="center"/>
              <w:rPr>
                <w:rFonts w:hint="default" w:ascii="宋体" w:hAnsi="宋体" w:cs="宋体"/>
                <w:color w:val="000000"/>
                <w:lang w:val="en-US" w:eastAsia="zh-CN"/>
              </w:rPr>
            </w:pPr>
            <w:r>
              <w:rPr>
                <w:rFonts w:hint="eastAsia" w:ascii="宋体" w:hAnsi="宋体" w:cs="宋体"/>
                <w:color w:val="000000"/>
                <w:lang w:val="en-US" w:eastAsia="zh-CN"/>
              </w:rPr>
              <w:t>水电工</w:t>
            </w:r>
          </w:p>
        </w:tc>
      </w:tr>
    </w:tbl>
    <w:p w14:paraId="003B661E">
      <w:pPr>
        <w:pStyle w:val="7"/>
        <w:spacing w:line="400" w:lineRule="exact"/>
        <w:ind w:left="0" w:leftChars="0"/>
        <w:rPr>
          <w:rFonts w:hint="eastAsia"/>
          <w:b/>
          <w:sz w:val="28"/>
          <w:szCs w:val="28"/>
          <w:lang w:eastAsia="zh-CN"/>
        </w:rPr>
      </w:pPr>
    </w:p>
    <w:p w14:paraId="593C072D">
      <w:pPr>
        <w:pStyle w:val="7"/>
        <w:spacing w:line="400" w:lineRule="exact"/>
        <w:ind w:left="0" w:leftChars="0"/>
        <w:rPr>
          <w:rFonts w:ascii="宋体" w:hAnsi="宋体" w:cs="宋体"/>
          <w:sz w:val="28"/>
          <w:szCs w:val="28"/>
        </w:rPr>
      </w:pPr>
      <w:r>
        <w:rPr>
          <w:rFonts w:hint="eastAsia"/>
          <w:b/>
          <w:sz w:val="28"/>
          <w:szCs w:val="28"/>
          <w:lang w:eastAsia="zh-CN"/>
        </w:rPr>
        <w:t>备注：</w:t>
      </w:r>
      <w:r>
        <w:rPr>
          <w:rFonts w:hint="eastAsia" w:ascii="宋体" w:hAnsi="宋体" w:eastAsia="宋体" w:cs="宋体"/>
          <w:sz w:val="28"/>
          <w:szCs w:val="28"/>
          <w:lang w:val="en-US" w:eastAsia="zh-CN" w:bidi="ar-SA"/>
        </w:rPr>
        <w:t>除常规工作外，还需承担： 1．每日安排专人去婚孕检中心收取体检标本及医疗废物；幼儿园体检期间，安排专人收取体检标本及医疗废物，运输途中严格按规范处置；2．定期修剪维护绿化带；3．服从突发性，临时性工作安排等。</w:t>
      </w:r>
    </w:p>
    <w:p w14:paraId="35E7B22D">
      <w:pPr>
        <w:pStyle w:val="32"/>
        <w:ind w:firstLine="0" w:firstLineChars="0"/>
      </w:pPr>
    </w:p>
    <w:p w14:paraId="506886B4">
      <w:pPr>
        <w:pStyle w:val="32"/>
        <w:ind w:firstLine="0" w:firstLineChars="0"/>
        <w:rPr>
          <w:rFonts w:ascii="宋体" w:hAnsi="宋体" w:eastAsia="宋体" w:cs="宋体"/>
        </w:rPr>
      </w:pPr>
    </w:p>
    <w:p w14:paraId="309B6CD0">
      <w:pPr>
        <w:pStyle w:val="12"/>
        <w:spacing w:line="500" w:lineRule="exact"/>
        <w:ind w:left="0" w:firstLine="0"/>
        <w:jc w:val="left"/>
        <w:outlineLvl w:val="0"/>
        <w:rPr>
          <w:rFonts w:ascii="宋体" w:hAnsi="宋体" w:eastAsia="宋体"/>
          <w:b/>
          <w:color w:val="auto"/>
          <w:sz w:val="28"/>
          <w:szCs w:val="28"/>
          <w:highlight w:val="yellow"/>
        </w:rPr>
      </w:pPr>
    </w:p>
    <w:p w14:paraId="3411881B">
      <w:pPr>
        <w:rPr>
          <w:rFonts w:ascii="黑体" w:hAnsi="黑体" w:eastAsia="黑体"/>
          <w:sz w:val="44"/>
          <w:szCs w:val="44"/>
        </w:rPr>
      </w:pPr>
      <w:r>
        <w:rPr>
          <w:rFonts w:ascii="黑体" w:hAnsi="黑体" w:eastAsia="黑体"/>
          <w:sz w:val="44"/>
          <w:szCs w:val="44"/>
        </w:rPr>
        <w:br w:type="page"/>
      </w:r>
    </w:p>
    <w:p w14:paraId="0F17AF5D">
      <w:pPr>
        <w:jc w:val="center"/>
        <w:rPr>
          <w:rFonts w:ascii="黑体" w:hAnsi="黑体" w:eastAsia="黑体"/>
          <w:b/>
        </w:rPr>
      </w:pPr>
      <w:r>
        <w:rPr>
          <w:rFonts w:ascii="黑体" w:hAnsi="黑体" w:eastAsia="黑体"/>
          <w:sz w:val="44"/>
          <w:szCs w:val="44"/>
        </w:rPr>
        <w:t>第六章</w:t>
      </w:r>
      <w:r>
        <w:rPr>
          <w:rFonts w:hint="eastAsia" w:ascii="黑体" w:hAnsi="黑体" w:eastAsia="黑体"/>
          <w:sz w:val="44"/>
          <w:szCs w:val="44"/>
        </w:rPr>
        <w:t xml:space="preserve"> </w:t>
      </w:r>
      <w:r>
        <w:rPr>
          <w:rFonts w:hint="eastAsia" w:ascii="黑体" w:hAnsi="黑体" w:eastAsia="黑体"/>
          <w:b/>
          <w:sz w:val="44"/>
          <w:szCs w:val="44"/>
        </w:rPr>
        <w:t>投标文件的编制要求及参考格式</w:t>
      </w:r>
      <w:r>
        <w:rPr>
          <w:rFonts w:ascii="黑体" w:hAnsi="黑体" w:eastAsia="黑体"/>
          <w:b/>
        </w:rPr>
        <w:t xml:space="preserve"> </w:t>
      </w:r>
      <w:bookmarkStart w:id="507" w:name="_Hlt26955039"/>
      <w:bookmarkEnd w:id="507"/>
      <w:bookmarkStart w:id="508" w:name="_Hlt26671244"/>
      <w:bookmarkEnd w:id="508"/>
      <w:bookmarkStart w:id="509" w:name="_Toc49090576"/>
      <w:bookmarkStart w:id="510" w:name="_Toc282446331"/>
      <w:bookmarkStart w:id="511" w:name="_Toc120614282"/>
      <w:bookmarkStart w:id="512" w:name="_Toc288030359"/>
      <w:bookmarkStart w:id="513" w:name="_Toc26554094"/>
    </w:p>
    <w:p w14:paraId="4533EEB7">
      <w:pPr>
        <w:pStyle w:val="12"/>
        <w:spacing w:line="360" w:lineRule="exact"/>
        <w:ind w:left="646" w:firstLine="0"/>
        <w:jc w:val="center"/>
        <w:outlineLvl w:val="0"/>
        <w:rPr>
          <w:rFonts w:ascii="黑体" w:hAnsi="黑体" w:eastAsia="黑体"/>
          <w:b/>
          <w:color w:val="auto"/>
          <w:sz w:val="44"/>
          <w:szCs w:val="44"/>
        </w:rPr>
      </w:pPr>
    </w:p>
    <w:p w14:paraId="70E142B2">
      <w:pPr>
        <w:spacing w:line="500" w:lineRule="exact"/>
        <w:rPr>
          <w:rFonts w:ascii="黑体" w:hAnsi="黑体" w:eastAsia="黑体"/>
          <w:sz w:val="32"/>
          <w:szCs w:val="32"/>
        </w:rPr>
      </w:pPr>
      <w:bookmarkStart w:id="514" w:name="_Toc426469932"/>
      <w:r>
        <w:rPr>
          <w:rFonts w:ascii="黑体" w:hAnsi="黑体" w:eastAsia="黑体"/>
          <w:sz w:val="32"/>
          <w:szCs w:val="32"/>
        </w:rPr>
        <w:t>1.</w:t>
      </w:r>
      <w:r>
        <w:rPr>
          <w:rFonts w:hint="eastAsia" w:ascii="黑体" w:hAnsi="黑体" w:eastAsia="黑体" w:cs="宋体"/>
          <w:sz w:val="32"/>
          <w:szCs w:val="32"/>
        </w:rPr>
        <w:t>投标文件的组成</w:t>
      </w:r>
      <w:bookmarkEnd w:id="514"/>
    </w:p>
    <w:p w14:paraId="3AB7F38C">
      <w:pPr>
        <w:adjustRightInd w:val="0"/>
        <w:snapToGrid w:val="0"/>
        <w:spacing w:line="500" w:lineRule="exact"/>
        <w:ind w:firstLine="560" w:firstLineChars="200"/>
        <w:rPr>
          <w:rFonts w:ascii="宋体"/>
          <w:sz w:val="28"/>
          <w:szCs w:val="28"/>
        </w:rPr>
      </w:pPr>
      <w:bookmarkStart w:id="515" w:name="_Toc426469933"/>
      <w:r>
        <w:rPr>
          <w:rFonts w:ascii="宋体"/>
          <w:sz w:val="28"/>
          <w:szCs w:val="28"/>
        </w:rPr>
        <w:t>见本招标文件第二章</w:t>
      </w:r>
      <w:r>
        <w:rPr>
          <w:rFonts w:hint="eastAsia" w:ascii="宋体"/>
          <w:sz w:val="28"/>
          <w:szCs w:val="28"/>
        </w:rPr>
        <w:t>3.1条。</w:t>
      </w:r>
    </w:p>
    <w:p w14:paraId="65B66287">
      <w:pPr>
        <w:spacing w:line="500" w:lineRule="exact"/>
        <w:rPr>
          <w:rFonts w:ascii="黑体" w:hAnsi="黑体" w:eastAsia="黑体"/>
          <w:sz w:val="32"/>
          <w:szCs w:val="32"/>
        </w:rPr>
      </w:pPr>
      <w:r>
        <w:rPr>
          <w:rFonts w:ascii="黑体" w:hAnsi="黑体" w:eastAsia="黑体"/>
          <w:sz w:val="32"/>
          <w:szCs w:val="32"/>
        </w:rPr>
        <w:t>2.</w:t>
      </w:r>
      <w:r>
        <w:rPr>
          <w:rFonts w:hint="eastAsia" w:ascii="黑体" w:hAnsi="黑体" w:eastAsia="黑体" w:cs="宋体"/>
          <w:sz w:val="32"/>
          <w:szCs w:val="32"/>
        </w:rPr>
        <w:t>投标文件的编制内容及编制要求</w:t>
      </w:r>
      <w:bookmarkEnd w:id="515"/>
    </w:p>
    <w:p w14:paraId="5287D4DE">
      <w:pPr>
        <w:spacing w:line="500" w:lineRule="exact"/>
        <w:rPr>
          <w:rFonts w:ascii="楷体" w:hAnsi="楷体" w:eastAsia="楷体"/>
          <w:b/>
          <w:sz w:val="28"/>
          <w:szCs w:val="28"/>
        </w:rPr>
      </w:pPr>
      <w:r>
        <w:rPr>
          <w:rFonts w:ascii="楷体" w:hAnsi="楷体" w:eastAsia="楷体"/>
          <w:b/>
          <w:sz w:val="28"/>
          <w:szCs w:val="28"/>
        </w:rPr>
        <w:t>2.1</w:t>
      </w:r>
      <w:r>
        <w:rPr>
          <w:rFonts w:hint="eastAsia" w:ascii="楷体" w:hAnsi="楷体" w:eastAsia="楷体" w:cs="宋体"/>
          <w:b/>
          <w:sz w:val="28"/>
          <w:szCs w:val="28"/>
        </w:rPr>
        <w:t>开标一览表</w:t>
      </w:r>
    </w:p>
    <w:p w14:paraId="5CD28440">
      <w:pPr>
        <w:spacing w:line="500" w:lineRule="exact"/>
        <w:ind w:firstLine="560" w:firstLineChars="200"/>
        <w:rPr>
          <w:rFonts w:ascii="宋体"/>
          <w:sz w:val="28"/>
          <w:szCs w:val="28"/>
        </w:rPr>
      </w:pPr>
      <w:r>
        <w:rPr>
          <w:rFonts w:ascii="宋体" w:hAnsi="宋体"/>
          <w:sz w:val="28"/>
          <w:szCs w:val="28"/>
        </w:rPr>
        <w:t xml:space="preserve">2.1.1 </w:t>
      </w:r>
      <w:r>
        <w:rPr>
          <w:rFonts w:hint="eastAsia" w:ascii="宋体" w:hAnsi="宋体" w:cs="宋体"/>
          <w:sz w:val="28"/>
          <w:szCs w:val="28"/>
        </w:rPr>
        <w:t>投标人应按表中格式完整、清晰、正确填写；</w:t>
      </w:r>
    </w:p>
    <w:p w14:paraId="421F5FE5">
      <w:pPr>
        <w:spacing w:line="500" w:lineRule="exact"/>
        <w:ind w:firstLine="560" w:firstLineChars="200"/>
        <w:rPr>
          <w:rFonts w:ascii="宋体"/>
          <w:sz w:val="28"/>
          <w:szCs w:val="28"/>
        </w:rPr>
      </w:pPr>
      <w:r>
        <w:rPr>
          <w:rFonts w:ascii="宋体" w:hAnsi="宋体"/>
          <w:sz w:val="28"/>
          <w:szCs w:val="28"/>
        </w:rPr>
        <w:t>2.1.2</w:t>
      </w:r>
      <w:r>
        <w:rPr>
          <w:rFonts w:hint="eastAsia" w:ascii="宋体" w:hAnsi="宋体" w:cs="宋体"/>
          <w:sz w:val="28"/>
          <w:szCs w:val="28"/>
        </w:rPr>
        <w:t>开标一览表中的价格应与投标文件中</w:t>
      </w:r>
      <w:bookmarkStart w:id="516" w:name="OLE_LINK8"/>
      <w:r>
        <w:rPr>
          <w:rFonts w:hint="eastAsia" w:ascii="宋体" w:hAnsi="宋体" w:cs="宋体"/>
          <w:sz w:val="28"/>
          <w:szCs w:val="28"/>
        </w:rPr>
        <w:t>投标报价明细表</w:t>
      </w:r>
      <w:bookmarkEnd w:id="516"/>
      <w:r>
        <w:rPr>
          <w:rFonts w:hint="eastAsia" w:ascii="宋体" w:hAnsi="宋体" w:cs="宋体"/>
          <w:sz w:val="28"/>
          <w:szCs w:val="28"/>
        </w:rPr>
        <w:t>中的价格一致。</w:t>
      </w:r>
    </w:p>
    <w:p w14:paraId="355614FE">
      <w:pPr>
        <w:spacing w:line="500" w:lineRule="exact"/>
        <w:ind w:firstLine="560" w:firstLineChars="200"/>
        <w:rPr>
          <w:rFonts w:ascii="宋体"/>
          <w:sz w:val="28"/>
          <w:szCs w:val="28"/>
        </w:rPr>
      </w:pPr>
      <w:r>
        <w:rPr>
          <w:rFonts w:ascii="宋体" w:hAnsi="宋体"/>
          <w:sz w:val="28"/>
          <w:szCs w:val="28"/>
        </w:rPr>
        <w:t>2.1.</w:t>
      </w:r>
      <w:r>
        <w:rPr>
          <w:rFonts w:hint="eastAsia" w:ascii="宋体" w:hAnsi="宋体"/>
          <w:sz w:val="28"/>
          <w:szCs w:val="28"/>
        </w:rPr>
        <w:t>3</w:t>
      </w:r>
      <w:r>
        <w:rPr>
          <w:rFonts w:hint="eastAsia" w:ascii="宋体" w:hAnsi="宋体" w:cs="宋体"/>
          <w:sz w:val="28"/>
          <w:szCs w:val="28"/>
        </w:rPr>
        <w:t>开标一览表格式见附件。</w:t>
      </w:r>
    </w:p>
    <w:p w14:paraId="0001EC62">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投标函</w:t>
      </w:r>
    </w:p>
    <w:p w14:paraId="693C601A">
      <w:pPr>
        <w:spacing w:line="500" w:lineRule="exact"/>
        <w:ind w:firstLine="560" w:firstLineChars="200"/>
        <w:rPr>
          <w:rFonts w:ascii="宋体"/>
          <w:sz w:val="28"/>
          <w:szCs w:val="28"/>
        </w:rPr>
      </w:pPr>
      <w:r>
        <w:rPr>
          <w:rFonts w:ascii="宋体" w:hAnsi="宋体"/>
          <w:sz w:val="28"/>
          <w:szCs w:val="28"/>
        </w:rPr>
        <w:t>2.2.1</w:t>
      </w:r>
      <w:r>
        <w:rPr>
          <w:rFonts w:hint="eastAsia" w:ascii="宋体" w:hAnsi="宋体" w:cs="宋体"/>
          <w:sz w:val="28"/>
          <w:szCs w:val="28"/>
        </w:rPr>
        <w:t>投标人应按表中规定格式完整、清晰、正确填写；</w:t>
      </w:r>
    </w:p>
    <w:p w14:paraId="6E756C26">
      <w:pPr>
        <w:spacing w:line="500" w:lineRule="exact"/>
        <w:ind w:firstLine="560" w:firstLineChars="200"/>
        <w:rPr>
          <w:rFonts w:ascii="宋体"/>
          <w:sz w:val="28"/>
          <w:szCs w:val="28"/>
        </w:rPr>
      </w:pPr>
      <w:r>
        <w:rPr>
          <w:rFonts w:ascii="宋体" w:hAnsi="宋体"/>
          <w:sz w:val="28"/>
          <w:szCs w:val="28"/>
        </w:rPr>
        <w:t>2.2.2</w:t>
      </w:r>
      <w:r>
        <w:rPr>
          <w:rFonts w:hint="eastAsia" w:ascii="宋体" w:hAnsi="宋体" w:cs="宋体"/>
          <w:sz w:val="28"/>
          <w:szCs w:val="28"/>
        </w:rPr>
        <w:t>投标函必须加盖投标人法人公章并经法定代表人签字或签章。</w:t>
      </w:r>
    </w:p>
    <w:p w14:paraId="3EA7C2D5">
      <w:pPr>
        <w:spacing w:line="500" w:lineRule="exact"/>
        <w:rPr>
          <w:rFonts w:ascii="楷体" w:hAnsi="楷体" w:eastAsia="楷体"/>
          <w:b/>
          <w:sz w:val="28"/>
          <w:szCs w:val="28"/>
        </w:rPr>
      </w:pPr>
      <w:r>
        <w:rPr>
          <w:rFonts w:hint="eastAsia" w:ascii="楷体" w:hAnsi="楷体" w:eastAsia="楷体"/>
          <w:b/>
          <w:sz w:val="28"/>
          <w:szCs w:val="28"/>
        </w:rPr>
        <w:t>2.3资格条件证明文件</w:t>
      </w:r>
    </w:p>
    <w:p w14:paraId="66EC70DD">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1</w:t>
      </w:r>
      <w:r>
        <w:rPr>
          <w:rFonts w:hint="eastAsia" w:ascii="宋体" w:hAnsi="宋体" w:cs="宋体"/>
          <w:sz w:val="28"/>
          <w:szCs w:val="28"/>
        </w:rPr>
        <w:t>）供应商基本资格条件承诺函；</w:t>
      </w:r>
    </w:p>
    <w:p w14:paraId="4673F7BC">
      <w:pPr>
        <w:spacing w:line="500" w:lineRule="exact"/>
        <w:ind w:firstLine="560" w:firstLineChars="200"/>
        <w:rPr>
          <w:rFonts w:ascii="宋体"/>
          <w:sz w:val="28"/>
          <w:szCs w:val="28"/>
        </w:rPr>
      </w:pPr>
      <w:r>
        <w:rPr>
          <w:rFonts w:hint="eastAsia" w:ascii="宋体" w:hAnsi="宋体" w:cs="宋体"/>
          <w:sz w:val="28"/>
          <w:szCs w:val="28"/>
        </w:rPr>
        <w:t>（</w:t>
      </w:r>
      <w:r>
        <w:rPr>
          <w:rFonts w:ascii="宋体" w:hAnsi="宋体"/>
          <w:sz w:val="28"/>
          <w:szCs w:val="28"/>
        </w:rPr>
        <w:t>2</w:t>
      </w:r>
      <w:r>
        <w:rPr>
          <w:rFonts w:hint="eastAsia" w:ascii="宋体" w:hAnsi="宋体" w:cs="宋体"/>
          <w:sz w:val="28"/>
          <w:szCs w:val="28"/>
        </w:rPr>
        <w:t>）招标文件要求的其他资格条件证明材料。</w:t>
      </w:r>
    </w:p>
    <w:p w14:paraId="25FCF737">
      <w:pPr>
        <w:spacing w:line="500" w:lineRule="exact"/>
        <w:rPr>
          <w:rFonts w:ascii="楷体" w:hAnsi="楷体" w:eastAsia="楷体"/>
          <w:b/>
          <w:sz w:val="28"/>
          <w:szCs w:val="28"/>
        </w:rPr>
      </w:pPr>
      <w:r>
        <w:rPr>
          <w:rFonts w:ascii="楷体" w:hAnsi="楷体" w:eastAsia="楷体"/>
          <w:b/>
          <w:sz w:val="28"/>
          <w:szCs w:val="28"/>
        </w:rPr>
        <w:t>2.</w:t>
      </w:r>
      <w:r>
        <w:rPr>
          <w:rFonts w:hint="eastAsia" w:ascii="楷体" w:hAnsi="楷体" w:eastAsia="楷体"/>
          <w:b/>
          <w:sz w:val="28"/>
          <w:szCs w:val="28"/>
        </w:rPr>
        <w:t>4采购需求</w:t>
      </w:r>
      <w:r>
        <w:rPr>
          <w:rFonts w:hint="eastAsia" w:ascii="楷体" w:hAnsi="楷体" w:eastAsia="楷体" w:cs="宋体"/>
          <w:b/>
          <w:sz w:val="28"/>
          <w:szCs w:val="28"/>
        </w:rPr>
        <w:t>响应表</w:t>
      </w:r>
    </w:p>
    <w:p w14:paraId="5E60E7C6">
      <w:pPr>
        <w:spacing w:line="500" w:lineRule="exact"/>
        <w:ind w:firstLine="560" w:firstLineChars="200"/>
        <w:rPr>
          <w:rFonts w:ascii="宋体" w:hAnsi="宋体"/>
          <w:b/>
          <w:sz w:val="28"/>
          <w:szCs w:val="28"/>
        </w:rPr>
      </w:pPr>
      <w:r>
        <w:rPr>
          <w:rFonts w:hint="eastAsia" w:ascii="宋体" w:hAnsi="宋体"/>
          <w:sz w:val="28"/>
          <w:szCs w:val="28"/>
        </w:rPr>
        <w:t>投标人应仔细阅读招标文件第五章采购需求，结合自身的实际情况，如实编制，格式自拟。</w:t>
      </w:r>
      <w:r>
        <w:rPr>
          <w:rFonts w:hint="eastAsia" w:ascii="宋体" w:hAnsi="宋体"/>
          <w:b/>
          <w:sz w:val="28"/>
          <w:szCs w:val="28"/>
        </w:rPr>
        <w:t>采购需求响应表须详细说明实际提供的服务及其他采购需求中相关要求的响应情况。</w:t>
      </w:r>
    </w:p>
    <w:p w14:paraId="0D47B493">
      <w:pPr>
        <w:spacing w:line="500" w:lineRule="exact"/>
        <w:rPr>
          <w:rFonts w:ascii="楷体" w:hAnsi="楷体" w:eastAsia="楷体" w:cs="宋体"/>
          <w:b/>
          <w:sz w:val="28"/>
          <w:szCs w:val="28"/>
        </w:rPr>
      </w:pPr>
      <w:r>
        <w:rPr>
          <w:rFonts w:ascii="楷体" w:hAnsi="楷体" w:eastAsia="楷体"/>
          <w:b/>
          <w:sz w:val="28"/>
          <w:szCs w:val="28"/>
        </w:rPr>
        <w:t>2.</w:t>
      </w:r>
      <w:r>
        <w:rPr>
          <w:rFonts w:hint="eastAsia" w:ascii="楷体" w:hAnsi="楷体" w:eastAsia="楷体"/>
          <w:b/>
          <w:sz w:val="28"/>
          <w:szCs w:val="28"/>
        </w:rPr>
        <w:t>5</w:t>
      </w:r>
      <w:r>
        <w:rPr>
          <w:rFonts w:hint="eastAsia" w:ascii="楷体" w:hAnsi="楷体" w:eastAsia="楷体" w:cs="宋体"/>
          <w:b/>
          <w:sz w:val="28"/>
          <w:szCs w:val="28"/>
        </w:rPr>
        <w:t>投标人认为应列入投标文件的其他材料</w:t>
      </w:r>
    </w:p>
    <w:p w14:paraId="26F2A5A2">
      <w:pPr>
        <w:spacing w:line="500" w:lineRule="exact"/>
        <w:ind w:firstLine="560" w:firstLineChars="200"/>
        <w:rPr>
          <w:rFonts w:ascii="宋体"/>
          <w:sz w:val="28"/>
          <w:szCs w:val="28"/>
        </w:rPr>
      </w:pPr>
      <w:r>
        <w:rPr>
          <w:rFonts w:hint="eastAsia" w:ascii="宋体" w:hAnsi="宋体"/>
          <w:sz w:val="28"/>
          <w:szCs w:val="28"/>
        </w:rPr>
        <w:t>投标人应对照第三章评标办法中的评审因素，结合自身的实际情况，如实编制，格式自拟。</w:t>
      </w:r>
    </w:p>
    <w:p w14:paraId="69D85779">
      <w:pPr>
        <w:spacing w:line="500" w:lineRule="exact"/>
        <w:rPr>
          <w:rFonts w:ascii="黑体" w:hAnsi="黑体" w:eastAsia="黑体"/>
          <w:sz w:val="32"/>
          <w:szCs w:val="32"/>
        </w:rPr>
      </w:pPr>
      <w:bookmarkStart w:id="517" w:name="_Toc426469934"/>
      <w:r>
        <w:rPr>
          <w:rFonts w:ascii="黑体" w:hAnsi="黑体" w:eastAsia="黑体"/>
          <w:sz w:val="32"/>
          <w:szCs w:val="32"/>
        </w:rPr>
        <w:br w:type="page"/>
      </w:r>
      <w:r>
        <w:rPr>
          <w:rFonts w:ascii="黑体" w:hAnsi="黑体" w:eastAsia="黑体"/>
          <w:sz w:val="32"/>
          <w:szCs w:val="32"/>
        </w:rPr>
        <w:t xml:space="preserve">3. </w:t>
      </w:r>
      <w:r>
        <w:rPr>
          <w:rFonts w:hint="eastAsia" w:ascii="黑体" w:hAnsi="黑体" w:eastAsia="黑体" w:cs="宋体"/>
          <w:sz w:val="32"/>
          <w:szCs w:val="32"/>
        </w:rPr>
        <w:t>投标文件参考格式</w:t>
      </w:r>
      <w:bookmarkEnd w:id="509"/>
      <w:bookmarkEnd w:id="510"/>
      <w:bookmarkEnd w:id="511"/>
      <w:bookmarkEnd w:id="512"/>
      <w:bookmarkEnd w:id="513"/>
      <w:bookmarkEnd w:id="517"/>
      <w:bookmarkStart w:id="518" w:name="_Toc426469936"/>
      <w:bookmarkStart w:id="519" w:name="_Toc426469937"/>
      <w:bookmarkStart w:id="520" w:name="_Toc382813957"/>
      <w:bookmarkStart w:id="521" w:name="_Toc383587529"/>
      <w:bookmarkStart w:id="522" w:name="_Toc382812316"/>
      <w:bookmarkStart w:id="523" w:name="_Toc390099111"/>
      <w:bookmarkStart w:id="524" w:name="_Toc383679822"/>
      <w:bookmarkStart w:id="525" w:name="_Toc382812507"/>
      <w:bookmarkStart w:id="526" w:name="_Toc383624021"/>
      <w:bookmarkStart w:id="527" w:name="_Toc390098915"/>
      <w:bookmarkStart w:id="528" w:name="_Toc383623749"/>
      <w:bookmarkStart w:id="529" w:name="_Toc382811607"/>
      <w:bookmarkStart w:id="530" w:name="_Toc383698722"/>
      <w:bookmarkStart w:id="531" w:name="_Toc382814038"/>
      <w:bookmarkStart w:id="532" w:name="_Toc382811202"/>
      <w:bookmarkStart w:id="533" w:name="_Toc383626069"/>
      <w:bookmarkStart w:id="534" w:name="_Toc390246998"/>
    </w:p>
    <w:p w14:paraId="6ECFD6F1">
      <w:pPr>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1</w:t>
      </w:r>
      <w:r>
        <w:rPr>
          <w:rFonts w:hint="eastAsia" w:ascii="楷体" w:hAnsi="楷体" w:eastAsia="楷体" w:cs="宋体"/>
          <w:b/>
          <w:sz w:val="28"/>
          <w:szCs w:val="28"/>
        </w:rPr>
        <w:t>投标文件封面格式</w:t>
      </w:r>
      <w:bookmarkEnd w:id="518"/>
    </w:p>
    <w:p w14:paraId="53537F80">
      <w:pPr>
        <w:spacing w:line="360" w:lineRule="exact"/>
        <w:ind w:firstLine="480" w:firstLineChars="200"/>
        <w:jc w:val="center"/>
        <w:rPr>
          <w:rFonts w:ascii="宋体"/>
        </w:rPr>
      </w:pPr>
    </w:p>
    <w:p w14:paraId="0EC078CE">
      <w:pPr>
        <w:spacing w:line="360" w:lineRule="exact"/>
        <w:ind w:firstLine="480" w:firstLineChars="200"/>
        <w:jc w:val="center"/>
        <w:rPr>
          <w:rFonts w:ascii="宋体"/>
        </w:rPr>
      </w:pPr>
    </w:p>
    <w:p w14:paraId="4DF830E6">
      <w:pPr>
        <w:jc w:val="center"/>
        <w:rPr>
          <w:rFonts w:ascii="宋体"/>
          <w:b/>
          <w:sz w:val="48"/>
          <w:szCs w:val="48"/>
        </w:rPr>
      </w:pPr>
      <w:r>
        <w:rPr>
          <w:rFonts w:hint="eastAsia" w:ascii="宋体"/>
          <w:b/>
          <w:sz w:val="48"/>
          <w:szCs w:val="48"/>
        </w:rPr>
        <w:t>投标文件</w:t>
      </w:r>
    </w:p>
    <w:p w14:paraId="7F3B531A">
      <w:pPr>
        <w:pStyle w:val="6"/>
      </w:pPr>
    </w:p>
    <w:p w14:paraId="1D68A18B">
      <w:pPr>
        <w:spacing w:line="440" w:lineRule="exact"/>
        <w:ind w:firstLine="2520" w:firstLineChars="900"/>
        <w:rPr>
          <w:rFonts w:ascii="宋体"/>
          <w:sz w:val="28"/>
          <w:szCs w:val="28"/>
        </w:rPr>
      </w:pPr>
      <w:r>
        <w:rPr>
          <w:rFonts w:hint="eastAsia" w:ascii="宋体"/>
          <w:sz w:val="28"/>
          <w:szCs w:val="28"/>
        </w:rPr>
        <w:t>采购项目名称：</w:t>
      </w:r>
    </w:p>
    <w:p w14:paraId="14C270C8">
      <w:pPr>
        <w:spacing w:line="440" w:lineRule="exact"/>
        <w:ind w:firstLine="2520" w:firstLineChars="900"/>
        <w:rPr>
          <w:rFonts w:ascii="宋体" w:cs="宋体"/>
          <w:sz w:val="28"/>
          <w:szCs w:val="28"/>
          <w:u w:val="single"/>
        </w:rPr>
      </w:pPr>
      <w:r>
        <w:rPr>
          <w:rFonts w:hint="eastAsia" w:ascii="宋体"/>
          <w:sz w:val="28"/>
          <w:szCs w:val="28"/>
        </w:rPr>
        <w:t>采购项目编号：</w:t>
      </w:r>
    </w:p>
    <w:p w14:paraId="4F8AB1A2">
      <w:pPr>
        <w:spacing w:line="360" w:lineRule="exact"/>
        <w:ind w:firstLine="1260" w:firstLineChars="450"/>
        <w:rPr>
          <w:rFonts w:ascii="宋体"/>
          <w:sz w:val="28"/>
          <w:szCs w:val="28"/>
        </w:rPr>
      </w:pPr>
    </w:p>
    <w:p w14:paraId="7806D6A2">
      <w:pPr>
        <w:spacing w:line="360" w:lineRule="exact"/>
        <w:ind w:firstLine="560" w:firstLineChars="200"/>
        <w:rPr>
          <w:rFonts w:ascii="宋体"/>
          <w:sz w:val="28"/>
          <w:szCs w:val="28"/>
        </w:rPr>
      </w:pPr>
    </w:p>
    <w:p w14:paraId="124E2ABA">
      <w:pPr>
        <w:tabs>
          <w:tab w:val="left" w:pos="2700"/>
        </w:tabs>
        <w:spacing w:line="400" w:lineRule="exact"/>
        <w:ind w:firstLine="2520" w:firstLineChars="900"/>
        <w:rPr>
          <w:rFonts w:ascii="宋体"/>
          <w:sz w:val="28"/>
          <w:szCs w:val="28"/>
          <w:u w:val="single"/>
        </w:rPr>
      </w:pPr>
      <w:r>
        <w:rPr>
          <w:rFonts w:hint="eastAsia" w:ascii="宋体"/>
          <w:sz w:val="28"/>
          <w:szCs w:val="28"/>
        </w:rPr>
        <w:t>投标人名称：</w:t>
      </w:r>
      <w:r>
        <w:rPr>
          <w:rFonts w:ascii="宋体"/>
          <w:sz w:val="28"/>
          <w:szCs w:val="28"/>
          <w:u w:val="single"/>
        </w:rPr>
        <w:t xml:space="preserve">  </w:t>
      </w:r>
      <w:r>
        <w:rPr>
          <w:rFonts w:hint="eastAsia" w:ascii="宋体"/>
          <w:sz w:val="28"/>
          <w:szCs w:val="28"/>
          <w:u w:val="single"/>
        </w:rPr>
        <w:t>（盖法人章）</w:t>
      </w:r>
      <w:r>
        <w:rPr>
          <w:rFonts w:ascii="宋体"/>
          <w:sz w:val="28"/>
          <w:szCs w:val="28"/>
          <w:u w:val="single"/>
        </w:rPr>
        <w:t xml:space="preserve">     </w:t>
      </w:r>
    </w:p>
    <w:p w14:paraId="23AD3B48">
      <w:pPr>
        <w:tabs>
          <w:tab w:val="left" w:pos="2700"/>
        </w:tabs>
        <w:spacing w:line="400" w:lineRule="exact"/>
        <w:ind w:firstLine="2520" w:firstLineChars="900"/>
        <w:rPr>
          <w:rFonts w:ascii="宋体"/>
          <w:sz w:val="28"/>
          <w:szCs w:val="28"/>
          <w:u w:val="single"/>
        </w:rPr>
      </w:pPr>
      <w:r>
        <w:rPr>
          <w:rFonts w:hint="eastAsia" w:ascii="宋体"/>
          <w:sz w:val="28"/>
          <w:szCs w:val="28"/>
        </w:rPr>
        <w:t>联系人：</w:t>
      </w:r>
    </w:p>
    <w:p w14:paraId="721CDDE1">
      <w:pPr>
        <w:tabs>
          <w:tab w:val="left" w:pos="2700"/>
        </w:tabs>
        <w:spacing w:line="400" w:lineRule="exact"/>
        <w:ind w:firstLine="2520" w:firstLineChars="900"/>
        <w:rPr>
          <w:rFonts w:ascii="宋体"/>
          <w:sz w:val="28"/>
          <w:szCs w:val="28"/>
          <w:u w:val="single"/>
        </w:rPr>
      </w:pPr>
      <w:r>
        <w:rPr>
          <w:rFonts w:hint="eastAsia" w:ascii="宋体"/>
          <w:sz w:val="28"/>
          <w:szCs w:val="28"/>
        </w:rPr>
        <w:t>联系电话：</w:t>
      </w:r>
    </w:p>
    <w:p w14:paraId="793EA8B1">
      <w:pPr>
        <w:spacing w:line="400" w:lineRule="exact"/>
        <w:ind w:firstLine="2520" w:firstLineChars="900"/>
        <w:rPr>
          <w:rFonts w:ascii="宋体"/>
          <w:sz w:val="28"/>
          <w:szCs w:val="28"/>
        </w:rPr>
      </w:pPr>
      <w:r>
        <w:rPr>
          <w:rFonts w:hint="eastAsia" w:ascii="宋体"/>
          <w:sz w:val="28"/>
          <w:szCs w:val="28"/>
        </w:rPr>
        <w:t>日期：</w:t>
      </w:r>
      <w:r>
        <w:rPr>
          <w:rFonts w:ascii="宋体"/>
          <w:sz w:val="28"/>
          <w:szCs w:val="28"/>
        </w:rPr>
        <w:t>______</w:t>
      </w:r>
      <w:r>
        <w:rPr>
          <w:rFonts w:hint="eastAsia" w:ascii="宋体"/>
          <w:sz w:val="28"/>
          <w:szCs w:val="28"/>
        </w:rPr>
        <w:t>年</w:t>
      </w:r>
      <w:r>
        <w:rPr>
          <w:rFonts w:ascii="宋体"/>
          <w:sz w:val="28"/>
          <w:szCs w:val="28"/>
        </w:rPr>
        <w:t>____</w:t>
      </w:r>
      <w:r>
        <w:rPr>
          <w:rFonts w:hint="eastAsia" w:ascii="宋体"/>
          <w:sz w:val="28"/>
          <w:szCs w:val="28"/>
        </w:rPr>
        <w:t>月</w:t>
      </w:r>
      <w:r>
        <w:rPr>
          <w:rFonts w:ascii="宋体"/>
          <w:sz w:val="28"/>
          <w:szCs w:val="28"/>
        </w:rPr>
        <w:t>____</w:t>
      </w:r>
      <w:r>
        <w:rPr>
          <w:rFonts w:hint="eastAsia" w:ascii="宋体"/>
          <w:sz w:val="28"/>
          <w:szCs w:val="28"/>
        </w:rPr>
        <w:t>日</w:t>
      </w:r>
    </w:p>
    <w:p w14:paraId="04C6CAE9">
      <w:pPr>
        <w:spacing w:line="400" w:lineRule="exact"/>
        <w:ind w:firstLine="2520" w:firstLineChars="900"/>
        <w:rPr>
          <w:rFonts w:ascii="宋体"/>
          <w:sz w:val="28"/>
          <w:szCs w:val="28"/>
        </w:rPr>
      </w:pPr>
    </w:p>
    <w:p w14:paraId="65AE5A60">
      <w:pPr>
        <w:spacing w:line="400" w:lineRule="exact"/>
        <w:rPr>
          <w:rFonts w:ascii="宋体"/>
          <w:sz w:val="28"/>
          <w:szCs w:val="28"/>
        </w:rPr>
      </w:pPr>
    </w:p>
    <w:p w14:paraId="30BE8BA3">
      <w:pPr>
        <w:spacing w:line="400" w:lineRule="exact"/>
        <w:rPr>
          <w:rFonts w:ascii="宋体"/>
          <w:sz w:val="28"/>
          <w:szCs w:val="28"/>
        </w:rPr>
      </w:pPr>
    </w:p>
    <w:p w14:paraId="26CC2715">
      <w:pPr>
        <w:spacing w:line="400" w:lineRule="exact"/>
        <w:rPr>
          <w:rFonts w:ascii="楷体" w:hAnsi="楷体" w:eastAsia="楷体"/>
          <w:b/>
          <w:sz w:val="28"/>
          <w:szCs w:val="28"/>
        </w:rPr>
      </w:pPr>
      <w:r>
        <w:rPr>
          <w:rFonts w:ascii="楷体" w:hAnsi="楷体" w:eastAsia="楷体"/>
          <w:b/>
          <w:sz w:val="28"/>
          <w:szCs w:val="28"/>
        </w:rPr>
        <w:t>3.</w:t>
      </w:r>
      <w:r>
        <w:rPr>
          <w:rFonts w:hint="eastAsia" w:ascii="楷体" w:hAnsi="楷体" w:eastAsia="楷体"/>
          <w:b/>
          <w:sz w:val="28"/>
          <w:szCs w:val="28"/>
        </w:rPr>
        <w:t>2</w:t>
      </w:r>
      <w:r>
        <w:rPr>
          <w:rFonts w:ascii="楷体" w:hAnsi="楷体" w:eastAsia="楷体"/>
          <w:b/>
          <w:sz w:val="28"/>
          <w:szCs w:val="28"/>
        </w:rPr>
        <w:t xml:space="preserve"> </w:t>
      </w:r>
      <w:r>
        <w:rPr>
          <w:rFonts w:hint="eastAsia" w:ascii="楷体" w:hAnsi="楷体" w:eastAsia="楷体" w:cs="宋体"/>
          <w:b/>
          <w:sz w:val="28"/>
          <w:szCs w:val="28"/>
        </w:rPr>
        <w:t>开标一览表</w:t>
      </w:r>
      <w:bookmarkEnd w:id="519"/>
    </w:p>
    <w:p w14:paraId="08455099">
      <w:pPr>
        <w:spacing w:line="400" w:lineRule="exact"/>
        <w:jc w:val="both"/>
        <w:rPr>
          <w:rFonts w:hint="eastAsia"/>
        </w:rPr>
      </w:pPr>
      <w:bookmarkStart w:id="535" w:name="_Toc426469938"/>
    </w:p>
    <w:p w14:paraId="3087B247">
      <w:pPr>
        <w:spacing w:line="400" w:lineRule="exact"/>
        <w:jc w:val="both"/>
        <w:rPr>
          <w:rFonts w:hint="eastAsia"/>
        </w:rPr>
      </w:pPr>
    </w:p>
    <w:p w14:paraId="1879F4EE">
      <w:pPr>
        <w:spacing w:line="400" w:lineRule="exact"/>
        <w:jc w:val="both"/>
        <w:rPr>
          <w:rFonts w:ascii="宋体"/>
          <w:sz w:val="28"/>
          <w:szCs w:val="28"/>
        </w:rPr>
      </w:pPr>
      <w:r>
        <w:rPr>
          <w:rFonts w:hint="eastAsia"/>
        </w:rPr>
        <w:t xml:space="preserve"> </w:t>
      </w:r>
      <w:r>
        <w:rPr>
          <w:rFonts w:hint="eastAsia" w:ascii="宋体"/>
          <w:sz w:val="28"/>
          <w:szCs w:val="28"/>
        </w:rPr>
        <w:t>按“江苏省政府采购管理交易系统（苏采云）”中格式填写。</w:t>
      </w:r>
    </w:p>
    <w:p w14:paraId="7AAD4F36">
      <w:pPr>
        <w:pStyle w:val="14"/>
      </w:pPr>
    </w:p>
    <w:p w14:paraId="2C17DF31">
      <w:pPr>
        <w:rPr>
          <w:rFonts w:ascii="楷体" w:hAnsi="楷体" w:eastAsia="楷体"/>
          <w:sz w:val="28"/>
          <w:szCs w:val="28"/>
        </w:rPr>
      </w:pPr>
      <w:r>
        <w:rPr>
          <w:rFonts w:ascii="楷体" w:hAnsi="楷体" w:eastAsia="楷体" w:cs="宋体"/>
          <w:b/>
          <w:sz w:val="28"/>
          <w:szCs w:val="28"/>
        </w:rPr>
        <w:br w:type="page"/>
      </w:r>
      <w:r>
        <w:rPr>
          <w:rFonts w:ascii="楷体" w:hAnsi="楷体" w:eastAsia="楷体" w:cs="宋体"/>
          <w:b/>
          <w:sz w:val="28"/>
          <w:szCs w:val="28"/>
        </w:rPr>
        <w:t>3.</w:t>
      </w:r>
      <w:r>
        <w:rPr>
          <w:rFonts w:hint="eastAsia" w:ascii="楷体" w:hAnsi="楷体" w:eastAsia="楷体" w:cs="宋体"/>
          <w:b/>
          <w:sz w:val="28"/>
          <w:szCs w:val="28"/>
        </w:rPr>
        <w:t>3</w:t>
      </w:r>
      <w:r>
        <w:rPr>
          <w:rFonts w:ascii="楷体" w:hAnsi="楷体" w:eastAsia="楷体" w:cs="宋体"/>
          <w:b/>
          <w:sz w:val="28"/>
          <w:szCs w:val="28"/>
        </w:rPr>
        <w:t xml:space="preserve"> </w:t>
      </w:r>
      <w:r>
        <w:rPr>
          <w:rFonts w:hint="eastAsia" w:ascii="楷体" w:hAnsi="楷体" w:eastAsia="楷体" w:cs="宋体"/>
          <w:b/>
          <w:sz w:val="28"/>
          <w:szCs w:val="28"/>
        </w:rPr>
        <w:t>投标函</w:t>
      </w:r>
      <w:bookmarkEnd w:id="535"/>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144B795A">
      <w:pPr>
        <w:jc w:val="center"/>
        <w:rPr>
          <w:sz w:val="44"/>
          <w:szCs w:val="44"/>
        </w:rPr>
      </w:pPr>
      <w:bookmarkStart w:id="536" w:name="_Toc367785041"/>
      <w:r>
        <w:rPr>
          <w:rFonts w:hint="eastAsia"/>
          <w:sz w:val="44"/>
          <w:szCs w:val="44"/>
        </w:rPr>
        <w:t>投</w:t>
      </w:r>
      <w:r>
        <w:rPr>
          <w:rFonts w:eastAsia="Times New Roman"/>
          <w:sz w:val="44"/>
          <w:szCs w:val="44"/>
        </w:rPr>
        <w:t xml:space="preserve"> </w:t>
      </w:r>
      <w:r>
        <w:rPr>
          <w:rFonts w:hint="eastAsia" w:ascii="宋体" w:hAnsi="宋体" w:cs="宋体"/>
          <w:sz w:val="44"/>
          <w:szCs w:val="44"/>
        </w:rPr>
        <w:t>标</w:t>
      </w:r>
      <w:r>
        <w:rPr>
          <w:rFonts w:eastAsia="Times New Roman"/>
          <w:sz w:val="44"/>
          <w:szCs w:val="44"/>
        </w:rPr>
        <w:t xml:space="preserve"> </w:t>
      </w:r>
      <w:r>
        <w:rPr>
          <w:rFonts w:hint="eastAsia" w:ascii="宋体" w:hAnsi="宋体" w:cs="宋体"/>
          <w:sz w:val="44"/>
          <w:szCs w:val="44"/>
        </w:rPr>
        <w:t>函</w:t>
      </w:r>
      <w:bookmarkEnd w:id="536"/>
    </w:p>
    <w:p w14:paraId="5BDD71E4">
      <w:pPr>
        <w:rPr>
          <w:rFonts w:asciiTheme="minorEastAsia" w:hAnsiTheme="minorEastAsia"/>
          <w:sz w:val="28"/>
          <w:szCs w:val="28"/>
        </w:rPr>
      </w:pPr>
      <w:r>
        <w:rPr>
          <w:rFonts w:hint="eastAsia" w:asciiTheme="minorEastAsia" w:hAnsiTheme="minorEastAsia"/>
          <w:sz w:val="28"/>
          <w:szCs w:val="28"/>
        </w:rPr>
        <w:t>致：</w:t>
      </w:r>
      <w:r>
        <w:rPr>
          <w:rFonts w:asciiTheme="minorEastAsia" w:hAnsiTheme="minorEastAsia"/>
          <w:sz w:val="28"/>
          <w:szCs w:val="28"/>
          <w:u w:val="single"/>
        </w:rPr>
        <w:t>(</w:t>
      </w:r>
      <w:r>
        <w:rPr>
          <w:rFonts w:hint="eastAsia" w:asciiTheme="minorEastAsia" w:hAnsiTheme="minorEastAsia"/>
          <w:sz w:val="28"/>
          <w:szCs w:val="28"/>
          <w:u w:val="single"/>
        </w:rPr>
        <w:t>采购人名称</w:t>
      </w:r>
      <w:r>
        <w:rPr>
          <w:rFonts w:asciiTheme="minorEastAsia" w:hAnsiTheme="minorEastAsia"/>
          <w:sz w:val="28"/>
          <w:szCs w:val="28"/>
          <w:u w:val="single"/>
        </w:rPr>
        <w:t>)</w:t>
      </w:r>
      <w:r>
        <w:rPr>
          <w:rFonts w:hint="eastAsia" w:asciiTheme="minorEastAsia" w:hAnsiTheme="minorEastAsia"/>
          <w:sz w:val="28"/>
          <w:szCs w:val="28"/>
        </w:rPr>
        <w:t>：</w:t>
      </w:r>
    </w:p>
    <w:p w14:paraId="157D8405">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根据</w:t>
      </w:r>
      <w:r>
        <w:rPr>
          <w:rFonts w:asciiTheme="minorEastAsia" w:hAnsiTheme="minorEastAsia"/>
          <w:sz w:val="28"/>
          <w:szCs w:val="28"/>
          <w:u w:val="single"/>
        </w:rPr>
        <w:t xml:space="preserve">   </w:t>
      </w:r>
      <w:r>
        <w:rPr>
          <w:rFonts w:hint="eastAsia" w:asciiTheme="minorEastAsia" w:hAnsiTheme="minorEastAsia"/>
          <w:sz w:val="28"/>
          <w:szCs w:val="28"/>
          <w:u w:val="single"/>
        </w:rPr>
        <w:t>（项目名称）</w:t>
      </w:r>
      <w:r>
        <w:rPr>
          <w:rFonts w:asciiTheme="minorEastAsia" w:hAnsiTheme="minorEastAsia"/>
          <w:sz w:val="28"/>
          <w:szCs w:val="28"/>
          <w:u w:val="single"/>
        </w:rPr>
        <w:t xml:space="preserve">    </w:t>
      </w:r>
      <w:r>
        <w:rPr>
          <w:rFonts w:hint="eastAsia" w:asciiTheme="minorEastAsia" w:hAnsiTheme="minorEastAsia"/>
          <w:sz w:val="28"/>
          <w:szCs w:val="28"/>
        </w:rPr>
        <w:t>招标文件的所有条款要求，遵照《中华人民共和国政府采购法》、《中华人民共和国政府采购法实施条例》等有关规定，我方承诺如下：</w:t>
      </w:r>
    </w:p>
    <w:p w14:paraId="11DFA55A">
      <w:pPr>
        <w:numPr>
          <w:ilvl w:val="0"/>
          <w:numId w:val="2"/>
        </w:numPr>
        <w:spacing w:line="520" w:lineRule="exact"/>
        <w:ind w:firstLine="560" w:firstLineChars="200"/>
        <w:jc w:val="left"/>
        <w:rPr>
          <w:rFonts w:hint="eastAsia" w:asciiTheme="minorEastAsia" w:hAnsiTheme="minorEastAsia"/>
          <w:color w:val="auto"/>
          <w:sz w:val="28"/>
          <w:szCs w:val="28"/>
          <w:lang w:val="en-US" w:eastAsia="zh-CN"/>
        </w:rPr>
      </w:pPr>
      <w:r>
        <w:rPr>
          <w:rFonts w:hint="eastAsia" w:asciiTheme="minorEastAsia" w:hAnsiTheme="minorEastAsia"/>
          <w:color w:val="auto"/>
          <w:sz w:val="28"/>
          <w:szCs w:val="28"/>
        </w:rPr>
        <w:t>投标总价格为（大写）：</w:t>
      </w:r>
      <w:r>
        <w:rPr>
          <w:rFonts w:asciiTheme="minorEastAsia" w:hAnsiTheme="minorEastAsia"/>
          <w:color w:val="auto"/>
          <w:sz w:val="28"/>
          <w:szCs w:val="28"/>
          <w:u w:val="single"/>
        </w:rPr>
        <w:t xml:space="preserve"> </w:t>
      </w:r>
      <w:r>
        <w:rPr>
          <w:rFonts w:hint="eastAsia" w:asciiTheme="minorEastAsia" w:hAnsiTheme="minorEastAsia"/>
          <w:color w:val="auto"/>
          <w:sz w:val="28"/>
          <w:szCs w:val="28"/>
          <w:u w:val="single"/>
        </w:rPr>
        <w:t xml:space="preserve">                        </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其中：</w:t>
      </w:r>
    </w:p>
    <w:p w14:paraId="009C91F7">
      <w:pPr>
        <w:numPr>
          <w:ilvl w:val="0"/>
          <w:numId w:val="0"/>
        </w:numPr>
        <w:spacing w:line="520" w:lineRule="exact"/>
        <w:ind w:left="835" w:leftChars="348" w:firstLine="0" w:firstLineChars="0"/>
        <w:jc w:val="left"/>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中医院</w:t>
      </w:r>
      <w:r>
        <w:rPr>
          <w:rFonts w:hint="eastAsia" w:asciiTheme="minorEastAsia" w:hAnsiTheme="minorEastAsia"/>
          <w:color w:val="auto"/>
          <w:sz w:val="28"/>
          <w:szCs w:val="28"/>
        </w:rPr>
        <w:t>物业管理服务投标价格为（大写）：</w:t>
      </w:r>
      <w:r>
        <w:rPr>
          <w:rFonts w:asciiTheme="minorEastAsia" w:hAnsiTheme="minorEastAsia"/>
          <w:color w:val="auto"/>
          <w:sz w:val="28"/>
          <w:szCs w:val="28"/>
          <w:u w:val="single"/>
        </w:rPr>
        <w:t xml:space="preserve"> </w:t>
      </w:r>
      <w:r>
        <w:rPr>
          <w:rFonts w:hint="eastAsia" w:asciiTheme="minorEastAsia" w:hAnsiTheme="minorEastAsia"/>
          <w:color w:val="auto"/>
          <w:sz w:val="28"/>
          <w:szCs w:val="28"/>
          <w:u w:val="single"/>
        </w:rPr>
        <w:t xml:space="preserve">       </w:t>
      </w:r>
      <w:r>
        <w:rPr>
          <w:rFonts w:hint="eastAsia" w:asciiTheme="minorEastAsia" w:hAnsiTheme="minorEastAsia"/>
          <w:color w:val="auto"/>
          <w:sz w:val="28"/>
          <w:szCs w:val="28"/>
        </w:rPr>
        <w:t>，</w:t>
      </w:r>
    </w:p>
    <w:p w14:paraId="270B9FD4">
      <w:pPr>
        <w:numPr>
          <w:ilvl w:val="0"/>
          <w:numId w:val="0"/>
        </w:numPr>
        <w:spacing w:line="520" w:lineRule="exact"/>
        <w:ind w:left="835" w:leftChars="348" w:firstLine="0" w:firstLineChars="0"/>
        <w:jc w:val="left"/>
        <w:rPr>
          <w:rFonts w:asciiTheme="minorEastAsia" w:hAnsiTheme="minorEastAsia"/>
          <w:color w:val="0070C0"/>
          <w:sz w:val="28"/>
          <w:szCs w:val="28"/>
        </w:rPr>
      </w:pPr>
      <w:r>
        <w:rPr>
          <w:rFonts w:hint="eastAsia" w:asciiTheme="minorEastAsia" w:hAnsiTheme="minorEastAsia"/>
          <w:color w:val="auto"/>
          <w:sz w:val="28"/>
          <w:szCs w:val="28"/>
          <w:lang w:val="en-US" w:eastAsia="zh-CN"/>
        </w:rPr>
        <w:t>妇幼保健院</w:t>
      </w:r>
      <w:r>
        <w:rPr>
          <w:rFonts w:hint="eastAsia" w:asciiTheme="minorEastAsia" w:hAnsiTheme="minorEastAsia"/>
          <w:color w:val="auto"/>
          <w:sz w:val="28"/>
          <w:szCs w:val="28"/>
        </w:rPr>
        <w:t>物业管理服务投标价格为（大写）：</w:t>
      </w:r>
      <w:r>
        <w:rPr>
          <w:rFonts w:asciiTheme="minorEastAsia" w:hAnsiTheme="minorEastAsia"/>
          <w:color w:val="auto"/>
          <w:sz w:val="28"/>
          <w:szCs w:val="28"/>
          <w:u w:val="single"/>
        </w:rPr>
        <w:t xml:space="preserve"> </w:t>
      </w:r>
      <w:r>
        <w:rPr>
          <w:rFonts w:hint="eastAsia" w:asciiTheme="minorEastAsia" w:hAnsiTheme="minorEastAsia"/>
          <w:color w:val="auto"/>
          <w:sz w:val="28"/>
          <w:szCs w:val="28"/>
          <w:u w:val="single"/>
        </w:rPr>
        <w:t xml:space="preserve">      </w:t>
      </w:r>
      <w:r>
        <w:rPr>
          <w:rFonts w:hint="eastAsia" w:asciiTheme="minorEastAsia" w:hAnsiTheme="minorEastAsia"/>
          <w:color w:val="auto"/>
          <w:sz w:val="28"/>
          <w:szCs w:val="28"/>
        </w:rPr>
        <w:t>。</w:t>
      </w:r>
    </w:p>
    <w:p w14:paraId="28A59833">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w:t>
      </w:r>
      <w:r>
        <w:rPr>
          <w:rFonts w:asciiTheme="minorEastAsia" w:hAnsiTheme="minorEastAsia"/>
          <w:sz w:val="28"/>
          <w:szCs w:val="28"/>
        </w:rPr>
        <w:t xml:space="preserve"> </w:t>
      </w:r>
    </w:p>
    <w:p w14:paraId="519C1D00">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。在投标有效期内我方同意遵守本投标文件中的承诺且在此期限期满之前投标文件对我方具有法律约束力。</w:t>
      </w:r>
    </w:p>
    <w:p w14:paraId="4A88BEC1">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4、我方已详细审查全部招标文件。我们完全理解并同意放弃对这方面有不明及误解的权力。</w:t>
      </w:r>
    </w:p>
    <w:p w14:paraId="52B35741">
      <w:pPr>
        <w:spacing w:line="520" w:lineRule="exact"/>
        <w:ind w:firstLine="560" w:firstLineChars="200"/>
        <w:rPr>
          <w:rFonts w:asciiTheme="minorEastAsia" w:hAnsiTheme="minorEastAsia"/>
          <w:sz w:val="28"/>
          <w:szCs w:val="28"/>
        </w:rPr>
      </w:pPr>
      <w:r>
        <w:rPr>
          <w:rFonts w:hint="eastAsia" w:asciiTheme="minorEastAsia" w:hAnsiTheme="minorEastAsia"/>
          <w:sz w:val="28"/>
          <w:szCs w:val="28"/>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719B0B42">
      <w:pPr>
        <w:pStyle w:val="6"/>
      </w:pPr>
    </w:p>
    <w:p w14:paraId="44662CFD">
      <w:pPr>
        <w:spacing w:line="520" w:lineRule="exact"/>
        <w:ind w:right="560" w:firstLine="3080" w:firstLineChars="1100"/>
        <w:rPr>
          <w:rFonts w:asciiTheme="minorEastAsia" w:hAnsiTheme="minorEastAsia"/>
          <w:sz w:val="28"/>
          <w:szCs w:val="28"/>
        </w:rPr>
      </w:pPr>
      <w:r>
        <w:rPr>
          <w:rFonts w:hint="eastAsia" w:asciiTheme="minorEastAsia" w:hAnsiTheme="minorEastAsia"/>
          <w:sz w:val="28"/>
          <w:szCs w:val="28"/>
        </w:rPr>
        <w:t>投标人名称(盖法人章)：</w:t>
      </w:r>
    </w:p>
    <w:p w14:paraId="3D9F47C6">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法定代表人 (签字或签章)：</w:t>
      </w:r>
    </w:p>
    <w:p w14:paraId="7DE4865C">
      <w:pPr>
        <w:spacing w:line="520" w:lineRule="exact"/>
        <w:ind w:firstLine="3080" w:firstLineChars="1100"/>
        <w:rPr>
          <w:rFonts w:asciiTheme="minorEastAsia" w:hAnsiTheme="minorEastAsia"/>
          <w:sz w:val="28"/>
          <w:szCs w:val="28"/>
        </w:rPr>
      </w:pPr>
      <w:r>
        <w:rPr>
          <w:rFonts w:hint="eastAsia" w:asciiTheme="minorEastAsia" w:hAnsiTheme="minorEastAsia"/>
          <w:sz w:val="28"/>
          <w:szCs w:val="28"/>
        </w:rPr>
        <w:t>日期：   年  月   日</w:t>
      </w:r>
    </w:p>
    <w:p w14:paraId="5CB5469B">
      <w:pPr>
        <w:widowControl/>
        <w:spacing w:line="500" w:lineRule="exact"/>
        <w:jc w:val="left"/>
        <w:rPr>
          <w:rFonts w:ascii="楷体" w:hAnsi="楷体" w:eastAsia="楷体" w:cs="宋体"/>
          <w:b/>
          <w:sz w:val="32"/>
          <w:szCs w:val="32"/>
        </w:rPr>
      </w:pPr>
      <w:r>
        <w:rPr>
          <w:rFonts w:asciiTheme="minorEastAsia" w:hAnsiTheme="minorEastAsia"/>
          <w:sz w:val="28"/>
          <w:szCs w:val="28"/>
        </w:rPr>
        <w:br w:type="page"/>
      </w:r>
      <w:r>
        <w:rPr>
          <w:rFonts w:hint="eastAsia" w:ascii="楷体" w:hAnsi="楷体" w:eastAsia="楷体" w:cs="宋体"/>
          <w:b/>
          <w:sz w:val="32"/>
          <w:szCs w:val="32"/>
        </w:rPr>
        <w:t>3.4供应商资格条件证明文件</w:t>
      </w:r>
    </w:p>
    <w:p w14:paraId="7E1EA815">
      <w:pPr>
        <w:pStyle w:val="4"/>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（1）供应商基本资格条件承诺函</w:t>
      </w:r>
    </w:p>
    <w:p w14:paraId="51C892FA">
      <w:pPr>
        <w:pStyle w:val="4"/>
        <w:spacing w:line="500" w:lineRule="exact"/>
        <w:jc w:val="cente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供应商基本资格条件承诺函</w:t>
      </w:r>
    </w:p>
    <w:p w14:paraId="3E017F03">
      <w:pPr>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一、按照《政府采购法》第二十二条规定的供应商基本资格条件，我公司郑重承诺如下：</w:t>
      </w:r>
    </w:p>
    <w:p w14:paraId="2D93F470">
      <w:pPr>
        <w:pStyle w:val="4"/>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1.我公司具有</w:t>
      </w:r>
      <w:r>
        <w:rPr>
          <w:rFonts w:hint="eastAsia" w:asciiTheme="minorEastAsia" w:hAnsiTheme="minorEastAsia" w:eastAsiaTheme="minorEastAsia"/>
          <w:sz w:val="28"/>
          <w:szCs w:val="28"/>
          <w:shd w:val="clear" w:color="auto" w:fill="FFFFFF"/>
        </w:rPr>
        <w:t>良好的商业信誉和健全的财务制度；</w:t>
      </w:r>
    </w:p>
    <w:p w14:paraId="7618C0E8">
      <w:pPr>
        <w:pStyle w:val="4"/>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2.我公司具有履行合同所必须的设备和专业技术能力；</w:t>
      </w:r>
    </w:p>
    <w:p w14:paraId="6FFEA50C">
      <w:pPr>
        <w:pStyle w:val="4"/>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3.我公司具有依法缴纳税收和社会保障资金的良好记录；</w:t>
      </w:r>
    </w:p>
    <w:p w14:paraId="3132B46D">
      <w:pPr>
        <w:pStyle w:val="4"/>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4.我公司参加政府采购活动前三年内，在经营活动中没有重大违法记录；</w:t>
      </w:r>
    </w:p>
    <w:p w14:paraId="3F84EE18">
      <w:pPr>
        <w:pStyle w:val="4"/>
        <w:adjustRightInd w:val="0"/>
        <w:snapToGrid w:val="0"/>
        <w:spacing w:line="500" w:lineRule="exact"/>
        <w:ind w:firstLine="560" w:firstLineChars="200"/>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w:t>
      </w:r>
    </w:p>
    <w:p w14:paraId="111A2593">
      <w:pPr>
        <w:pStyle w:val="4"/>
        <w:adjustRightInd w:val="0"/>
        <w:snapToGrid w:val="0"/>
        <w:spacing w:line="500" w:lineRule="exact"/>
        <w:ind w:firstLine="560" w:firstLineChars="200"/>
        <w:rPr>
          <w:rFonts w:asciiTheme="minorEastAsia" w:hAnsiTheme="minorEastAsia" w:eastAsiaTheme="minorEastAsia"/>
          <w:kern w:val="2"/>
          <w:sz w:val="28"/>
          <w:szCs w:val="28"/>
        </w:rPr>
      </w:pPr>
      <w:r>
        <w:rPr>
          <w:rFonts w:hint="eastAsia" w:asciiTheme="minorEastAsia" w:hAnsiTheme="minorEastAsia" w:eastAsiaTheme="minorEastAsia"/>
          <w:sz w:val="28"/>
          <w:szCs w:val="28"/>
          <w:shd w:val="clear" w:color="auto" w:fill="FFFFFF"/>
        </w:rPr>
        <w:t>二、</w:t>
      </w:r>
      <w:r>
        <w:rPr>
          <w:rFonts w:hint="eastAsia" w:asciiTheme="minorEastAsia" w:hAnsiTheme="minorEastAsia" w:eastAsiaTheme="minorEastAsia"/>
          <w:sz w:val="28"/>
          <w:szCs w:val="28"/>
        </w:rPr>
        <w:t>我公司承诺：在本次投标过程中，我公司不存在本项目招标文件第二章第1.4.3条所列情形之一。</w:t>
      </w:r>
    </w:p>
    <w:p w14:paraId="11826A20">
      <w:pPr>
        <w:adjustRightInd w:val="0"/>
        <w:snapToGrid w:val="0"/>
        <w:spacing w:beforeLines="50" w:line="500" w:lineRule="exact"/>
        <w:ind w:firstLine="3920" w:firstLineChars="1400"/>
        <w:rPr>
          <w:rFonts w:asciiTheme="minorEastAsia" w:hAnsiTheme="minorEastAsia" w:eastAsiaTheme="minorEastAsia"/>
          <w:sz w:val="28"/>
          <w:szCs w:val="28"/>
        </w:rPr>
      </w:pPr>
    </w:p>
    <w:p w14:paraId="6908E708">
      <w:pPr>
        <w:adjustRightInd w:val="0"/>
        <w:snapToGrid w:val="0"/>
        <w:spacing w:beforeLines="50" w:line="500" w:lineRule="exact"/>
        <w:ind w:firstLine="3920" w:firstLineChars="1400"/>
        <w:rPr>
          <w:rFonts w:asciiTheme="minorEastAsia" w:hAnsiTheme="minorEastAsia" w:eastAsiaTheme="minorEastAsia"/>
          <w:sz w:val="28"/>
          <w:szCs w:val="28"/>
        </w:rPr>
      </w:pPr>
      <w:r>
        <w:rPr>
          <w:rFonts w:asciiTheme="minorEastAsia" w:hAnsiTheme="minorEastAsia" w:eastAsiaTheme="minorEastAsia"/>
          <w:sz w:val="28"/>
          <w:szCs w:val="28"/>
        </w:rPr>
        <w:t>投标人名称(盖法人章)：</w:t>
      </w:r>
    </w:p>
    <w:p w14:paraId="3B8CDBD8">
      <w:pPr>
        <w:adjustRightInd w:val="0"/>
        <w:snapToGrid w:val="0"/>
        <w:spacing w:beforeLines="50" w:line="500" w:lineRule="exact"/>
        <w:ind w:firstLine="3920" w:firstLineChars="1400"/>
        <w:rPr>
          <w:rFonts w:asciiTheme="minorEastAsia" w:hAnsiTheme="minorEastAsia" w:eastAsiaTheme="minorEastAsia"/>
          <w:sz w:val="28"/>
          <w:szCs w:val="28"/>
          <w:u w:val="single"/>
        </w:rPr>
      </w:pPr>
      <w:r>
        <w:rPr>
          <w:rFonts w:hint="eastAsia" w:asciiTheme="minorEastAsia" w:hAnsiTheme="minorEastAsia" w:eastAsiaTheme="minorEastAsia"/>
          <w:sz w:val="28"/>
          <w:szCs w:val="28"/>
        </w:rPr>
        <w:t>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签字或签章</w:t>
      </w:r>
      <w:r>
        <w:rPr>
          <w:rFonts w:asciiTheme="minorEastAsia" w:hAnsiTheme="minorEastAsia" w:eastAsiaTheme="minorEastAsia"/>
          <w:sz w:val="28"/>
          <w:szCs w:val="28"/>
        </w:rPr>
        <w:t>)</w:t>
      </w:r>
      <w:r>
        <w:rPr>
          <w:rFonts w:hint="eastAsia" w:asciiTheme="minorEastAsia" w:hAnsiTheme="minorEastAsia" w:eastAsiaTheme="minorEastAsia"/>
          <w:sz w:val="28"/>
          <w:szCs w:val="28"/>
        </w:rPr>
        <w:t>：</w:t>
      </w:r>
    </w:p>
    <w:p w14:paraId="328A967B">
      <w:pPr>
        <w:adjustRightInd w:val="0"/>
        <w:snapToGrid w:val="0"/>
        <w:spacing w:beforeLines="50" w:line="500" w:lineRule="exact"/>
        <w:ind w:firstLine="3920" w:firstLineChars="1400"/>
        <w:rPr>
          <w:rFonts w:asciiTheme="minorEastAsia" w:hAnsiTheme="minorEastAsia" w:eastAsiaTheme="minorEastAsia"/>
          <w:sz w:val="28"/>
          <w:szCs w:val="28"/>
        </w:rPr>
      </w:pPr>
      <w:r>
        <w:rPr>
          <w:rFonts w:hint="eastAsia" w:asciiTheme="minorEastAsia" w:hAnsiTheme="minorEastAsia" w:eastAsiaTheme="minorEastAsia"/>
          <w:sz w:val="28"/>
          <w:szCs w:val="28"/>
        </w:rPr>
        <w:t>日期：   年  月   日</w:t>
      </w:r>
    </w:p>
    <w:p w14:paraId="67212AD1">
      <w:pPr>
        <w:pStyle w:val="4"/>
        <w:adjustRightInd w:val="0"/>
        <w:snapToGrid w:val="0"/>
        <w:spacing w:line="500" w:lineRule="exact"/>
        <w:rPr>
          <w:rFonts w:asciiTheme="minorEastAsia" w:hAnsiTheme="minorEastAsia" w:eastAsiaTheme="minorEastAsia"/>
          <w:b/>
          <w:sz w:val="28"/>
          <w:szCs w:val="28"/>
        </w:rPr>
      </w:pPr>
    </w:p>
    <w:p w14:paraId="76A122E6">
      <w:pPr>
        <w:pStyle w:val="4"/>
        <w:adjustRightInd w:val="0"/>
        <w:snapToGrid w:val="0"/>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（2）</w:t>
      </w:r>
      <w:r>
        <w:rPr>
          <w:rFonts w:hint="eastAsia" w:cs="宋体" w:asciiTheme="minorEastAsia" w:hAnsiTheme="minorEastAsia" w:eastAsiaTheme="minorEastAsia"/>
          <w:b/>
          <w:sz w:val="28"/>
          <w:szCs w:val="28"/>
        </w:rPr>
        <w:t>招标文件要求的其他资格条件及证明材料</w:t>
      </w:r>
    </w:p>
    <w:p w14:paraId="02CA6E46">
      <w:pPr>
        <w:pStyle w:val="4"/>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1.具有有效的营业执照（附证书的复印件）；</w:t>
      </w:r>
    </w:p>
    <w:p w14:paraId="4997AA47">
      <w:pPr>
        <w:pStyle w:val="4"/>
        <w:adjustRightInd w:val="0"/>
        <w:snapToGrid w:val="0"/>
        <w:spacing w:line="500" w:lineRule="exact"/>
        <w:ind w:firstLine="560" w:firstLineChars="20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2.中小企业声明函（参考格式附后）；</w:t>
      </w:r>
    </w:p>
    <w:p w14:paraId="1B5C1B58">
      <w:pPr>
        <w:pStyle w:val="4"/>
        <w:adjustRightInd w:val="0"/>
        <w:snapToGrid w:val="0"/>
        <w:spacing w:line="500" w:lineRule="exact"/>
        <w:ind w:firstLine="560" w:firstLineChars="200"/>
        <w:rPr>
          <w:rFonts w:ascii="楷体" w:hAnsi="楷体" w:eastAsia="楷体" w:cs="宋体"/>
          <w:b/>
          <w:sz w:val="28"/>
          <w:szCs w:val="28"/>
        </w:rPr>
      </w:pPr>
      <w:r>
        <w:rPr>
          <w:rFonts w:hint="eastAsia" w:cs="宋体" w:asciiTheme="minorEastAsia" w:hAnsiTheme="minorEastAsia" w:eastAsiaTheme="minorEastAsia"/>
          <w:sz w:val="28"/>
          <w:szCs w:val="28"/>
        </w:rPr>
        <w:t>3.特定资格要求：</w:t>
      </w:r>
      <w:r>
        <w:rPr>
          <w:rFonts w:hint="eastAsia" w:asciiTheme="majorEastAsia" w:hAnsiTheme="majorEastAsia" w:eastAsiaTheme="majorEastAsia"/>
          <w:sz w:val="28"/>
          <w:szCs w:val="28"/>
        </w:rPr>
        <w:t>无。</w:t>
      </w:r>
    </w:p>
    <w:p w14:paraId="4A23A4A9">
      <w:pPr>
        <w:widowControl/>
        <w:jc w:val="left"/>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r>
      <w:r>
        <w:rPr>
          <w:rFonts w:hint="eastAsia" w:cs="宋体" w:asciiTheme="majorEastAsia" w:hAnsiTheme="majorEastAsia" w:eastAsiaTheme="majorEastAsia"/>
          <w:b/>
          <w:sz w:val="30"/>
          <w:szCs w:val="30"/>
        </w:rPr>
        <w:t>附件：中小企业声明函</w:t>
      </w:r>
    </w:p>
    <w:p w14:paraId="6E8688E9">
      <w:pPr>
        <w:spacing w:line="440" w:lineRule="exact"/>
        <w:jc w:val="center"/>
        <w:rPr>
          <w:rFonts w:ascii="黑体" w:eastAsia="黑体"/>
          <w:bCs/>
          <w:sz w:val="32"/>
          <w:szCs w:val="32"/>
        </w:rPr>
      </w:pPr>
      <w:r>
        <w:rPr>
          <w:rFonts w:hint="eastAsia" w:ascii="黑体" w:eastAsia="黑体"/>
          <w:bCs/>
          <w:sz w:val="32"/>
          <w:szCs w:val="32"/>
        </w:rPr>
        <w:t>中小企业声明函</w:t>
      </w:r>
    </w:p>
    <w:p w14:paraId="2A2D5644">
      <w:pPr>
        <w:spacing w:line="440" w:lineRule="exact"/>
        <w:ind w:firstLine="570"/>
        <w:rPr>
          <w:rFonts w:cs="宋体" w:asciiTheme="minorEastAsia" w:hAnsiTheme="minorEastAsia"/>
          <w:sz w:val="28"/>
          <w:szCs w:val="28"/>
        </w:rPr>
      </w:pPr>
      <w:r>
        <w:rPr>
          <w:rFonts w:hint="eastAsia" w:cs="宋体" w:asciiTheme="minorEastAsia" w:hAnsiTheme="minorEastAsia"/>
          <w:sz w:val="28"/>
          <w:szCs w:val="28"/>
        </w:rPr>
        <w:t>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采购活动，提供的货物或服务全部由符合政策要求的小微企业提供。相关企业（含联合体中的中小企业、签订分包意向协议的中小企业）的具体情况如下：</w:t>
      </w:r>
    </w:p>
    <w:p w14:paraId="3AFB5748">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3335FF1F">
      <w:pPr>
        <w:spacing w:line="440" w:lineRule="exact"/>
        <w:ind w:firstLine="560" w:firstLineChars="200"/>
        <w:rPr>
          <w:rFonts w:cs="宋体" w:asciiTheme="minorEastAsia" w:hAnsiTheme="minorEastAsia"/>
          <w:sz w:val="28"/>
          <w:szCs w:val="28"/>
          <w:u w:val="single"/>
        </w:rPr>
      </w:pPr>
      <w:r>
        <w:rPr>
          <w:rFonts w:hint="eastAsia" w:cs="宋体" w:asciiTheme="minorEastAsia" w:hAnsiTheme="minorEastAsia"/>
          <w:sz w:val="28"/>
          <w:szCs w:val="28"/>
        </w:rPr>
        <w:t>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w:t>
      </w:r>
    </w:p>
    <w:p w14:paraId="7B83A542">
      <w:pPr>
        <w:pStyle w:val="32"/>
        <w:spacing w:line="440" w:lineRule="exact"/>
        <w:ind w:left="930" w:firstLine="0" w:firstLineChars="0"/>
        <w:rPr>
          <w:rFonts w:ascii="ΟGB2312" w:hAnsi="宋体" w:eastAsia="ΟGB2312" w:cs="宋体"/>
          <w:sz w:val="28"/>
          <w:szCs w:val="28"/>
        </w:rPr>
      </w:pPr>
      <w:r>
        <w:rPr>
          <w:rFonts w:ascii="ΟGB2312" w:hAnsi="宋体" w:eastAsia="ΟGB2312" w:cs="宋体"/>
          <w:sz w:val="28"/>
          <w:szCs w:val="28"/>
        </w:rPr>
        <w:t>……</w:t>
      </w:r>
    </w:p>
    <w:p w14:paraId="03531E76">
      <w:pPr>
        <w:spacing w:line="440" w:lineRule="exact"/>
        <w:ind w:firstLine="560" w:firstLineChars="200"/>
        <w:rPr>
          <w:rFonts w:ascii="ΟGB2312" w:hAnsi="宋体" w:eastAsia="ΟGB2312" w:cs="宋体"/>
          <w:sz w:val="28"/>
          <w:szCs w:val="28"/>
        </w:rPr>
      </w:pPr>
      <w:r>
        <w:rPr>
          <w:rFonts w:hint="eastAsia" w:ascii="ΟGB2312" w:hAnsi="宋体" w:eastAsia="ΟGB2312" w:cs="宋体"/>
          <w:sz w:val="28"/>
          <w:szCs w:val="28"/>
        </w:rPr>
        <w:t>以上企业，不属于大企业的分支机构，不存在控股股东为大企业的情形，也不存在与大企业的负责人为同一人的情形。</w:t>
      </w:r>
    </w:p>
    <w:p w14:paraId="21AF92F8">
      <w:pPr>
        <w:spacing w:line="440" w:lineRule="exact"/>
        <w:ind w:firstLine="570"/>
        <w:rPr>
          <w:rFonts w:ascii="ΟGB2312" w:hAnsi="宋体" w:eastAsia="ΟGB2312" w:cs="宋体"/>
          <w:sz w:val="28"/>
          <w:szCs w:val="28"/>
        </w:rPr>
      </w:pPr>
      <w:r>
        <w:rPr>
          <w:rFonts w:hint="eastAsia" w:ascii="ΟGB2312" w:hAnsi="宋体" w:eastAsia="ΟGB2312" w:cs="宋体"/>
          <w:sz w:val="28"/>
          <w:szCs w:val="28"/>
        </w:rPr>
        <w:t>本企业对上述声明内容的真实性负责。如有虚假，将依法承担相应责任。</w:t>
      </w:r>
    </w:p>
    <w:p w14:paraId="75A8A6F1">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企业名称（盖章）：</w:t>
      </w:r>
    </w:p>
    <w:p w14:paraId="162304EA">
      <w:pPr>
        <w:spacing w:line="440" w:lineRule="exact"/>
        <w:ind w:firstLine="4760" w:firstLineChars="1700"/>
        <w:rPr>
          <w:rFonts w:ascii="ΟGB2312" w:hAnsi="宋体" w:eastAsia="ΟGB2312" w:cs="宋体"/>
          <w:sz w:val="28"/>
          <w:szCs w:val="28"/>
        </w:rPr>
      </w:pPr>
      <w:r>
        <w:rPr>
          <w:rFonts w:hint="eastAsia" w:ascii="ΟGB2312" w:hAnsi="宋体" w:eastAsia="ΟGB2312" w:cs="宋体"/>
          <w:sz w:val="28"/>
          <w:szCs w:val="28"/>
        </w:rPr>
        <w:t>日  期：</w:t>
      </w:r>
    </w:p>
    <w:p w14:paraId="64063875">
      <w:pPr>
        <w:pStyle w:val="31"/>
        <w:spacing w:line="440" w:lineRule="exact"/>
        <w:textAlignment w:val="center"/>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注：1、从业人员、营业收入填报上一年度数据，无上一年度数据的新成立企业可不填报。</w:t>
      </w:r>
    </w:p>
    <w:p w14:paraId="6A8A05A1">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2、供应商如不提供此声明函，价格将不做相应扣除。</w:t>
      </w:r>
    </w:p>
    <w:p w14:paraId="0ED5DFD0">
      <w:pPr>
        <w:spacing w:line="440" w:lineRule="exact"/>
        <w:ind w:firstLine="560" w:firstLineChars="200"/>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3、供应商提供的声明函内容不实的，属于提供虚假材料谋取中标，依照《中华人民共和国政府采购法》等国家有关规定追究相应责任。</w:t>
      </w:r>
    </w:p>
    <w:p w14:paraId="5484777D">
      <w:pPr>
        <w:widowControl/>
        <w:spacing w:line="440" w:lineRule="exact"/>
        <w:jc w:val="left"/>
        <w:rPr>
          <w:rFonts w:ascii="楷体" w:hAnsi="楷体" w:eastAsia="楷体" w:cs="宋体"/>
          <w:b/>
          <w:sz w:val="28"/>
          <w:szCs w:val="28"/>
        </w:rPr>
      </w:pPr>
    </w:p>
    <w:p w14:paraId="6E3CC373">
      <w:pPr>
        <w:widowControl/>
        <w:spacing w:line="440" w:lineRule="exact"/>
        <w:jc w:val="left"/>
        <w:rPr>
          <w:rFonts w:ascii="楷体" w:hAnsi="楷体" w:eastAsia="楷体" w:cs="宋体"/>
          <w:b/>
          <w:sz w:val="28"/>
          <w:szCs w:val="28"/>
        </w:rPr>
      </w:pPr>
    </w:p>
    <w:p w14:paraId="4F0AFAB5">
      <w:pPr>
        <w:widowControl/>
        <w:spacing w:line="440" w:lineRule="exact"/>
        <w:jc w:val="left"/>
        <w:rPr>
          <w:rFonts w:ascii="楷体" w:hAnsi="楷体" w:eastAsia="楷体" w:cs="宋体"/>
          <w:b/>
          <w:sz w:val="32"/>
          <w:szCs w:val="32"/>
        </w:rPr>
      </w:pPr>
      <w:r>
        <w:rPr>
          <w:rFonts w:hint="eastAsia" w:ascii="楷体" w:hAnsi="楷体" w:eastAsia="楷体" w:cs="宋体"/>
          <w:b/>
          <w:sz w:val="32"/>
          <w:szCs w:val="32"/>
        </w:rPr>
        <w:t>3.5采购需求响应表（格式自拟）</w:t>
      </w:r>
    </w:p>
    <w:p w14:paraId="313C8956">
      <w:pPr>
        <w:rPr>
          <w:rFonts w:ascii="楷体" w:hAnsi="楷体" w:eastAsia="楷体" w:cs="宋体"/>
          <w:b/>
          <w:sz w:val="32"/>
          <w:szCs w:val="32"/>
        </w:rPr>
      </w:pPr>
      <w:r>
        <w:rPr>
          <w:rFonts w:hint="eastAsia" w:ascii="楷体" w:hAnsi="楷体" w:eastAsia="楷体" w:cs="宋体"/>
          <w:b/>
          <w:sz w:val="32"/>
          <w:szCs w:val="32"/>
        </w:rPr>
        <w:br w:type="page"/>
      </w:r>
    </w:p>
    <w:p w14:paraId="07E6F84A">
      <w:pPr>
        <w:widowControl/>
        <w:spacing w:line="440" w:lineRule="exact"/>
        <w:jc w:val="left"/>
        <w:rPr>
          <w:rFonts w:hint="eastAsia" w:ascii="楷体" w:hAnsi="楷体" w:eastAsia="楷体" w:cs="宋体"/>
          <w:b/>
          <w:sz w:val="32"/>
          <w:szCs w:val="32"/>
        </w:rPr>
      </w:pPr>
      <w:r>
        <w:rPr>
          <w:rFonts w:hint="eastAsia" w:ascii="楷体" w:hAnsi="楷体" w:eastAsia="楷体" w:cs="宋体"/>
          <w:b/>
          <w:sz w:val="32"/>
          <w:szCs w:val="32"/>
        </w:rPr>
        <w:t>3.6投标分项报价明细表及分析说明</w:t>
      </w:r>
    </w:p>
    <w:p w14:paraId="03C978B6">
      <w:pPr>
        <w:pStyle w:val="17"/>
        <w:ind w:firstLine="281"/>
        <w:rPr>
          <w:rFonts w:hAnsi="楷体" w:eastAsia="楷体"/>
          <w:b/>
          <w:color w:val="000000" w:themeColor="text1"/>
          <w:sz w:val="28"/>
          <w:szCs w:val="28"/>
          <w14:textFill>
            <w14:solidFill>
              <w14:schemeClr w14:val="tx1"/>
            </w14:solidFill>
          </w14:textFill>
        </w:rPr>
      </w:pPr>
      <w:r>
        <w:rPr>
          <w:rFonts w:hint="eastAsia" w:hAnsi="楷体" w:eastAsia="楷体"/>
          <w:b/>
          <w:color w:val="000000" w:themeColor="text1"/>
          <w:sz w:val="28"/>
          <w:szCs w:val="28"/>
          <w14:textFill>
            <w14:solidFill>
              <w14:schemeClr w14:val="tx1"/>
            </w14:solidFill>
          </w14:textFill>
        </w:rPr>
        <w:t>1、分项报价</w:t>
      </w:r>
    </w:p>
    <w:tbl>
      <w:tblPr>
        <w:tblStyle w:val="18"/>
        <w:tblW w:w="85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559"/>
        <w:gridCol w:w="6944"/>
      </w:tblGrid>
      <w:tr w14:paraId="2C2B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58" w:hRule="atLeast"/>
        </w:trPr>
        <w:tc>
          <w:tcPr>
            <w:tcW w:w="1559" w:type="dxa"/>
            <w:vAlign w:val="center"/>
          </w:tcPr>
          <w:p w14:paraId="62C2AEB7">
            <w:pPr>
              <w:tabs>
                <w:tab w:val="left" w:pos="-900"/>
              </w:tabs>
              <w:jc w:val="center"/>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名称</w:t>
            </w:r>
          </w:p>
        </w:tc>
        <w:tc>
          <w:tcPr>
            <w:tcW w:w="6944" w:type="dxa"/>
            <w:vAlign w:val="center"/>
          </w:tcPr>
          <w:p w14:paraId="2EFA5120">
            <w:pPr>
              <w:tabs>
                <w:tab w:val="left" w:pos="-900"/>
              </w:tabs>
              <w:jc w:val="center"/>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报价</w:t>
            </w:r>
          </w:p>
        </w:tc>
      </w:tr>
      <w:tr w14:paraId="087E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559" w:type="dxa"/>
          </w:tcPr>
          <w:p w14:paraId="0B7FA18A">
            <w:pPr>
              <w:tabs>
                <w:tab w:val="left" w:pos="-900"/>
              </w:tabs>
              <w:rPr>
                <w:color w:val="000000" w:themeColor="text1"/>
                <w:kern w:val="2"/>
                <w:sz w:val="28"/>
                <w:szCs w:val="28"/>
                <w14:textFill>
                  <w14:solidFill>
                    <w14:schemeClr w14:val="tx1"/>
                  </w14:solidFill>
                </w14:textFill>
              </w:rPr>
            </w:pPr>
            <w:r>
              <w:rPr>
                <w:rFonts w:hint="eastAsia"/>
                <w:color w:val="000000" w:themeColor="text1"/>
                <w:kern w:val="2"/>
                <w:sz w:val="28"/>
                <w:szCs w:val="28"/>
                <w:lang w:val="en-US" w:eastAsia="zh-CN"/>
                <w14:textFill>
                  <w14:solidFill>
                    <w14:schemeClr w14:val="tx1"/>
                  </w14:solidFill>
                </w14:textFill>
              </w:rPr>
              <w:t>泰兴市中医院</w:t>
            </w:r>
            <w:r>
              <w:rPr>
                <w:rFonts w:hint="eastAsia"/>
                <w:color w:val="000000" w:themeColor="text1"/>
                <w:kern w:val="2"/>
                <w:sz w:val="28"/>
                <w:szCs w:val="28"/>
                <w14:textFill>
                  <w14:solidFill>
                    <w14:schemeClr w14:val="tx1"/>
                  </w14:solidFill>
                </w14:textFill>
              </w:rPr>
              <w:t>物业管理服务（一年）</w:t>
            </w:r>
          </w:p>
        </w:tc>
        <w:tc>
          <w:tcPr>
            <w:tcW w:w="6944" w:type="dxa"/>
          </w:tcPr>
          <w:p w14:paraId="4E82D22F">
            <w:pPr>
              <w:pStyle w:val="6"/>
              <w:spacing w:line="460" w:lineRule="exact"/>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大写：</w:t>
            </w:r>
          </w:p>
          <w:p w14:paraId="39DA1429">
            <w:pPr>
              <w:tabs>
                <w:tab w:val="left" w:pos="-900"/>
              </w:tabs>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小写：        （元）（人民币）</w:t>
            </w:r>
          </w:p>
        </w:tc>
      </w:tr>
      <w:tr w14:paraId="7561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559" w:type="dxa"/>
          </w:tcPr>
          <w:p w14:paraId="0396679F">
            <w:pPr>
              <w:tabs>
                <w:tab w:val="left" w:pos="-900"/>
              </w:tabs>
              <w:rPr>
                <w:color w:val="000000" w:themeColor="text1"/>
                <w:kern w:val="2"/>
                <w:sz w:val="28"/>
                <w:szCs w:val="28"/>
                <w14:textFill>
                  <w14:solidFill>
                    <w14:schemeClr w14:val="tx1"/>
                  </w14:solidFill>
                </w14:textFill>
              </w:rPr>
            </w:pPr>
            <w:r>
              <w:rPr>
                <w:rFonts w:hint="eastAsia"/>
                <w:color w:val="000000" w:themeColor="text1"/>
                <w:kern w:val="2"/>
                <w:sz w:val="28"/>
                <w:szCs w:val="28"/>
                <w:lang w:val="en-US" w:eastAsia="zh-CN"/>
                <w14:textFill>
                  <w14:solidFill>
                    <w14:schemeClr w14:val="tx1"/>
                  </w14:solidFill>
                </w14:textFill>
              </w:rPr>
              <w:t>妇幼保健院</w:t>
            </w:r>
            <w:r>
              <w:rPr>
                <w:rFonts w:hint="eastAsia"/>
                <w:color w:val="000000" w:themeColor="text1"/>
                <w:kern w:val="2"/>
                <w:sz w:val="28"/>
                <w:szCs w:val="28"/>
                <w14:textFill>
                  <w14:solidFill>
                    <w14:schemeClr w14:val="tx1"/>
                  </w14:solidFill>
                </w14:textFill>
              </w:rPr>
              <w:t>物业管理服务（一年）</w:t>
            </w:r>
          </w:p>
        </w:tc>
        <w:tc>
          <w:tcPr>
            <w:tcW w:w="6944" w:type="dxa"/>
          </w:tcPr>
          <w:p w14:paraId="07764002">
            <w:pPr>
              <w:pStyle w:val="6"/>
              <w:spacing w:line="460" w:lineRule="exact"/>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大写：</w:t>
            </w:r>
          </w:p>
          <w:p w14:paraId="5CF86C5B">
            <w:pPr>
              <w:tabs>
                <w:tab w:val="left" w:pos="-900"/>
              </w:tabs>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小写：        （元）（人民币）</w:t>
            </w:r>
          </w:p>
        </w:tc>
      </w:tr>
      <w:tr w14:paraId="0D5EB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559" w:type="dxa"/>
          </w:tcPr>
          <w:p w14:paraId="40A20218">
            <w:pPr>
              <w:tabs>
                <w:tab w:val="left" w:pos="-900"/>
              </w:tabs>
              <w:rPr>
                <w:rFonts w:hint="eastAsia"/>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总报价</w:t>
            </w:r>
          </w:p>
          <w:p w14:paraId="502FC508">
            <w:pPr>
              <w:tabs>
                <w:tab w:val="left" w:pos="-900"/>
              </w:tabs>
            </w:pPr>
            <w:r>
              <w:rPr>
                <w:rFonts w:hint="eastAsia"/>
                <w:color w:val="000000" w:themeColor="text1"/>
                <w:kern w:val="2"/>
                <w:sz w:val="28"/>
                <w:szCs w:val="28"/>
                <w14:textFill>
                  <w14:solidFill>
                    <w14:schemeClr w14:val="tx1"/>
                  </w14:solidFill>
                </w14:textFill>
              </w:rPr>
              <w:t>（一年）</w:t>
            </w:r>
          </w:p>
        </w:tc>
        <w:tc>
          <w:tcPr>
            <w:tcW w:w="6944" w:type="dxa"/>
          </w:tcPr>
          <w:p w14:paraId="3FEE68D1">
            <w:pPr>
              <w:pStyle w:val="6"/>
              <w:spacing w:line="460" w:lineRule="exact"/>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大写：</w:t>
            </w:r>
          </w:p>
          <w:p w14:paraId="70B56FF0">
            <w:pPr>
              <w:tabs>
                <w:tab w:val="left" w:pos="-900"/>
              </w:tabs>
              <w:rPr>
                <w:color w:val="000000" w:themeColor="text1"/>
                <w:kern w:val="2"/>
                <w:sz w:val="28"/>
                <w:szCs w:val="28"/>
                <w14:textFill>
                  <w14:solidFill>
                    <w14:schemeClr w14:val="tx1"/>
                  </w14:solidFill>
                </w14:textFill>
              </w:rPr>
            </w:pPr>
            <w:r>
              <w:rPr>
                <w:rFonts w:hint="eastAsia"/>
                <w:color w:val="000000" w:themeColor="text1"/>
                <w:kern w:val="2"/>
                <w:sz w:val="28"/>
                <w:szCs w:val="28"/>
                <w14:textFill>
                  <w14:solidFill>
                    <w14:schemeClr w14:val="tx1"/>
                  </w14:solidFill>
                </w14:textFill>
              </w:rPr>
              <w:t>小写：        （元）（人民币）</w:t>
            </w:r>
          </w:p>
        </w:tc>
      </w:tr>
    </w:tbl>
    <w:p w14:paraId="25C8F13C">
      <w:pPr>
        <w:pStyle w:val="17"/>
        <w:ind w:firstLine="281"/>
        <w:rPr>
          <w:rFonts w:hint="eastAsia" w:hAnsi="楷体" w:eastAsia="楷体"/>
          <w:b/>
          <w:color w:val="000000" w:themeColor="text1"/>
          <w:sz w:val="28"/>
          <w:szCs w:val="28"/>
          <w14:textFill>
            <w14:solidFill>
              <w14:schemeClr w14:val="tx1"/>
            </w14:solidFill>
          </w14:textFill>
        </w:rPr>
      </w:pPr>
    </w:p>
    <w:p w14:paraId="4CBA33A1">
      <w:pPr>
        <w:pStyle w:val="17"/>
        <w:ind w:firstLine="281"/>
        <w:rPr>
          <w:rFonts w:hAnsi="楷体" w:eastAsia="楷体"/>
          <w:b/>
          <w:color w:val="000000" w:themeColor="text1"/>
          <w:sz w:val="28"/>
          <w:szCs w:val="28"/>
          <w14:textFill>
            <w14:solidFill>
              <w14:schemeClr w14:val="tx1"/>
            </w14:solidFill>
          </w14:textFill>
        </w:rPr>
      </w:pPr>
      <w:r>
        <w:rPr>
          <w:rFonts w:hint="eastAsia" w:hAnsi="楷体" w:eastAsia="楷体"/>
          <w:b/>
          <w:color w:val="000000" w:themeColor="text1"/>
          <w:sz w:val="28"/>
          <w:szCs w:val="28"/>
          <w14:textFill>
            <w14:solidFill>
              <w14:schemeClr w14:val="tx1"/>
            </w14:solidFill>
          </w14:textFill>
        </w:rPr>
        <w:t>2、用工明细报价表</w:t>
      </w:r>
    </w:p>
    <w:tbl>
      <w:tblPr>
        <w:tblStyle w:val="18"/>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2"/>
        <w:gridCol w:w="1503"/>
        <w:gridCol w:w="1437"/>
        <w:gridCol w:w="689"/>
        <w:gridCol w:w="1772"/>
        <w:gridCol w:w="2056"/>
        <w:gridCol w:w="1050"/>
      </w:tblGrid>
      <w:tr w14:paraId="1481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2" w:hRule="atLeast"/>
          <w:tblHeader/>
          <w:jc w:val="center"/>
        </w:trPr>
        <w:tc>
          <w:tcPr>
            <w:tcW w:w="682" w:type="dxa"/>
            <w:tcBorders>
              <w:top w:val="single" w:color="auto" w:sz="6" w:space="0"/>
              <w:left w:val="single" w:color="auto" w:sz="6" w:space="0"/>
              <w:bottom w:val="single" w:color="auto" w:sz="6" w:space="0"/>
              <w:right w:val="single" w:color="auto" w:sz="6" w:space="0"/>
            </w:tcBorders>
            <w:shd w:val="clear" w:color="auto" w:fill="E0E0E0"/>
            <w:noWrap/>
            <w:vAlign w:val="center"/>
          </w:tcPr>
          <w:p w14:paraId="24EEC4A3">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序号</w:t>
            </w:r>
          </w:p>
        </w:tc>
        <w:tc>
          <w:tcPr>
            <w:tcW w:w="1503" w:type="dxa"/>
            <w:tcBorders>
              <w:top w:val="single" w:color="auto" w:sz="6" w:space="0"/>
              <w:left w:val="single" w:color="auto" w:sz="6" w:space="0"/>
              <w:bottom w:val="single" w:color="auto" w:sz="6" w:space="0"/>
              <w:right w:val="single" w:color="auto" w:sz="6" w:space="0"/>
            </w:tcBorders>
            <w:shd w:val="clear" w:color="auto" w:fill="E0E0E0"/>
            <w:noWrap/>
            <w:vAlign w:val="center"/>
          </w:tcPr>
          <w:p w14:paraId="5BFAFF63">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院区名称</w:t>
            </w:r>
          </w:p>
        </w:tc>
        <w:tc>
          <w:tcPr>
            <w:tcW w:w="1437" w:type="dxa"/>
            <w:tcBorders>
              <w:top w:val="single" w:color="auto" w:sz="6" w:space="0"/>
              <w:left w:val="single" w:color="auto" w:sz="6" w:space="0"/>
              <w:bottom w:val="single" w:color="auto" w:sz="6" w:space="0"/>
              <w:right w:val="single" w:color="auto" w:sz="6" w:space="0"/>
            </w:tcBorders>
            <w:shd w:val="clear" w:color="auto" w:fill="E0E0E0"/>
            <w:noWrap/>
            <w:vAlign w:val="center"/>
          </w:tcPr>
          <w:p w14:paraId="2C2F72A5">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人员类别</w:t>
            </w:r>
          </w:p>
        </w:tc>
        <w:tc>
          <w:tcPr>
            <w:tcW w:w="689" w:type="dxa"/>
            <w:tcBorders>
              <w:top w:val="single" w:color="auto" w:sz="6" w:space="0"/>
              <w:left w:val="single" w:color="auto" w:sz="6" w:space="0"/>
              <w:bottom w:val="single" w:color="auto" w:sz="6" w:space="0"/>
              <w:right w:val="single" w:color="auto" w:sz="6" w:space="0"/>
            </w:tcBorders>
            <w:shd w:val="clear" w:color="auto" w:fill="E0E0E0"/>
            <w:noWrap/>
            <w:vAlign w:val="center"/>
          </w:tcPr>
          <w:p w14:paraId="5C0FBC0B">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人数</w:t>
            </w:r>
          </w:p>
        </w:tc>
        <w:tc>
          <w:tcPr>
            <w:tcW w:w="1772" w:type="dxa"/>
            <w:tcBorders>
              <w:top w:val="single" w:color="auto" w:sz="6" w:space="0"/>
              <w:left w:val="single" w:color="auto" w:sz="6" w:space="0"/>
              <w:bottom w:val="single" w:color="auto" w:sz="6" w:space="0"/>
              <w:right w:val="single" w:color="auto" w:sz="4" w:space="0"/>
            </w:tcBorders>
            <w:shd w:val="clear" w:color="auto" w:fill="E0E0E0"/>
            <w:noWrap/>
            <w:tcMar>
              <w:top w:w="15" w:type="dxa"/>
              <w:left w:w="15" w:type="dxa"/>
              <w:bottom w:w="0" w:type="dxa"/>
              <w:right w:w="15" w:type="dxa"/>
            </w:tcMar>
            <w:vAlign w:val="center"/>
          </w:tcPr>
          <w:p w14:paraId="0B1BF095">
            <w:pPr>
              <w:pStyle w:val="17"/>
              <w:spacing w:after="0"/>
              <w:ind w:firstLine="0" w:firstLineChars="0"/>
              <w:jc w:val="center"/>
              <w:rPr>
                <w:rFonts w:hint="eastAsia"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控制单价</w:t>
            </w:r>
          </w:p>
          <w:p w14:paraId="3A4B4E15">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（元/月）</w:t>
            </w:r>
          </w:p>
        </w:tc>
        <w:tc>
          <w:tcPr>
            <w:tcW w:w="2056" w:type="dxa"/>
            <w:tcBorders>
              <w:top w:val="single" w:color="auto" w:sz="6" w:space="0"/>
              <w:left w:val="single" w:color="auto" w:sz="6" w:space="0"/>
              <w:bottom w:val="single" w:color="auto" w:sz="6" w:space="0"/>
              <w:right w:val="single" w:color="auto" w:sz="4" w:space="0"/>
            </w:tcBorders>
            <w:shd w:val="clear" w:color="auto" w:fill="E0E0E0"/>
            <w:noWrap/>
            <w:vAlign w:val="center"/>
          </w:tcPr>
          <w:p w14:paraId="38DB607F">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报单价</w:t>
            </w:r>
          </w:p>
          <w:p w14:paraId="0B648FA1">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（元/月）</w:t>
            </w:r>
          </w:p>
        </w:tc>
        <w:tc>
          <w:tcPr>
            <w:tcW w:w="1050" w:type="dxa"/>
            <w:tcBorders>
              <w:top w:val="single" w:color="auto" w:sz="6" w:space="0"/>
              <w:left w:val="single" w:color="auto" w:sz="4" w:space="0"/>
              <w:bottom w:val="single" w:color="auto" w:sz="6" w:space="0"/>
              <w:right w:val="single" w:color="auto" w:sz="4" w:space="0"/>
            </w:tcBorders>
            <w:shd w:val="clear" w:color="auto" w:fill="E0E0E0"/>
            <w:noWrap/>
            <w:vAlign w:val="center"/>
          </w:tcPr>
          <w:p w14:paraId="09F54FB6">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备注</w:t>
            </w:r>
          </w:p>
        </w:tc>
      </w:tr>
      <w:tr w14:paraId="4DC2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49" w:hRule="atLeast"/>
          <w:jc w:val="center"/>
        </w:trPr>
        <w:tc>
          <w:tcPr>
            <w:tcW w:w="682" w:type="dxa"/>
            <w:tcBorders>
              <w:top w:val="single" w:color="auto" w:sz="6" w:space="0"/>
              <w:left w:val="single" w:color="auto" w:sz="6" w:space="0"/>
              <w:right w:val="single" w:color="auto" w:sz="6" w:space="0"/>
            </w:tcBorders>
            <w:noWrap/>
            <w:vAlign w:val="center"/>
          </w:tcPr>
          <w:p w14:paraId="7BCB30B8">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1</w:t>
            </w:r>
          </w:p>
        </w:tc>
        <w:tc>
          <w:tcPr>
            <w:tcW w:w="1503" w:type="dxa"/>
            <w:tcBorders>
              <w:top w:val="single" w:color="auto" w:sz="6" w:space="0"/>
              <w:left w:val="single" w:color="auto" w:sz="6" w:space="0"/>
              <w:right w:val="single" w:color="auto" w:sz="6" w:space="0"/>
            </w:tcBorders>
            <w:noWrap/>
            <w:vAlign w:val="center"/>
          </w:tcPr>
          <w:p w14:paraId="78F11219">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color w:val="000000" w:themeColor="text1"/>
                <w:kern w:val="2"/>
                <w:sz w:val="28"/>
                <w:szCs w:val="28"/>
                <w:lang w:val="en-US" w:eastAsia="zh-CN"/>
                <w14:textFill>
                  <w14:solidFill>
                    <w14:schemeClr w14:val="tx1"/>
                  </w14:solidFill>
                </w14:textFill>
              </w:rPr>
              <w:t>泰兴市中医院</w:t>
            </w:r>
            <w:r>
              <w:rPr>
                <w:rFonts w:hint="eastAsia" w:asciiTheme="minorEastAsia" w:hAnsiTheme="minorEastAsia" w:eastAsiaTheme="minorEastAsia" w:cstheme="minorEastAsia"/>
                <w:bCs/>
                <w:color w:val="000000" w:themeColor="text1"/>
                <w:sz w:val="28"/>
                <w:szCs w:val="28"/>
                <w14:textFill>
                  <w14:solidFill>
                    <w14:schemeClr w14:val="tx1"/>
                  </w14:solidFill>
                </w14:textFill>
              </w:rPr>
              <w:t>（一年）</w:t>
            </w:r>
          </w:p>
        </w:tc>
        <w:tc>
          <w:tcPr>
            <w:tcW w:w="1437" w:type="dxa"/>
            <w:tcBorders>
              <w:top w:val="single" w:color="auto" w:sz="6" w:space="0"/>
              <w:left w:val="single" w:color="auto" w:sz="6" w:space="0"/>
              <w:bottom w:val="single" w:color="auto" w:sz="6" w:space="0"/>
              <w:right w:val="single" w:color="auto" w:sz="6" w:space="0"/>
            </w:tcBorders>
            <w:noWrap/>
            <w:vAlign w:val="center"/>
          </w:tcPr>
          <w:p w14:paraId="6C99BAB1">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物业</w:t>
            </w:r>
          </w:p>
          <w:p w14:paraId="04D931A7">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用工人头费</w:t>
            </w:r>
          </w:p>
        </w:tc>
        <w:tc>
          <w:tcPr>
            <w:tcW w:w="689" w:type="dxa"/>
            <w:tcBorders>
              <w:top w:val="single" w:color="auto" w:sz="6" w:space="0"/>
              <w:left w:val="single" w:color="auto" w:sz="6" w:space="0"/>
              <w:bottom w:val="single" w:color="auto" w:sz="6" w:space="0"/>
              <w:right w:val="single" w:color="auto" w:sz="6" w:space="0"/>
            </w:tcBorders>
            <w:noWrap/>
            <w:vAlign w:val="center"/>
          </w:tcPr>
          <w:p w14:paraId="64A5F1EE">
            <w:pPr>
              <w:pStyle w:val="17"/>
              <w:spacing w:after="0"/>
              <w:ind w:firstLine="0" w:firstLineChars="0"/>
              <w:jc w:val="center"/>
              <w:rPr>
                <w:rFonts w:hint="default" w:asciiTheme="minorEastAsia" w:hAnsiTheme="minorEastAsia" w:eastAsiaTheme="minorEastAsia" w:cstheme="minorEastAsia"/>
                <w:bCs/>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lang w:val="en-US" w:eastAsia="zh-CN"/>
                <w14:textFill>
                  <w14:solidFill>
                    <w14:schemeClr w14:val="tx1"/>
                  </w14:solidFill>
                </w14:textFill>
              </w:rPr>
              <w:t>82</w:t>
            </w:r>
          </w:p>
        </w:tc>
        <w:tc>
          <w:tcPr>
            <w:tcW w:w="1772" w:type="dxa"/>
            <w:tcBorders>
              <w:top w:val="single" w:color="auto" w:sz="6" w:space="0"/>
              <w:left w:val="single" w:color="auto" w:sz="6" w:space="0"/>
              <w:bottom w:val="single" w:color="auto" w:sz="6" w:space="0"/>
              <w:right w:val="single" w:color="auto" w:sz="4" w:space="0"/>
            </w:tcBorders>
            <w:noWrap/>
            <w:tcMar>
              <w:top w:w="15" w:type="dxa"/>
              <w:left w:w="15" w:type="dxa"/>
              <w:bottom w:w="0" w:type="dxa"/>
              <w:right w:w="15" w:type="dxa"/>
            </w:tcMar>
            <w:vAlign w:val="center"/>
          </w:tcPr>
          <w:p w14:paraId="4E0A2A3F">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3744</w:t>
            </w:r>
          </w:p>
        </w:tc>
        <w:tc>
          <w:tcPr>
            <w:tcW w:w="2056" w:type="dxa"/>
            <w:tcBorders>
              <w:top w:val="single" w:color="auto" w:sz="6" w:space="0"/>
              <w:left w:val="single" w:color="auto" w:sz="6" w:space="0"/>
              <w:right w:val="single" w:color="auto" w:sz="4" w:space="0"/>
            </w:tcBorders>
            <w:noWrap/>
            <w:vAlign w:val="center"/>
          </w:tcPr>
          <w:p w14:paraId="020941E9">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p>
        </w:tc>
        <w:tc>
          <w:tcPr>
            <w:tcW w:w="1050" w:type="dxa"/>
            <w:tcBorders>
              <w:top w:val="single" w:color="auto" w:sz="6" w:space="0"/>
              <w:left w:val="single" w:color="auto" w:sz="4" w:space="0"/>
              <w:right w:val="single" w:color="auto" w:sz="4" w:space="0"/>
            </w:tcBorders>
            <w:noWrap/>
            <w:vAlign w:val="center"/>
          </w:tcPr>
          <w:p w14:paraId="3F38E0A8">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p>
        </w:tc>
      </w:tr>
      <w:tr w14:paraId="5E13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0" w:hRule="atLeast"/>
          <w:jc w:val="center"/>
        </w:trPr>
        <w:tc>
          <w:tcPr>
            <w:tcW w:w="682" w:type="dxa"/>
            <w:tcBorders>
              <w:top w:val="single" w:color="auto" w:sz="6" w:space="0"/>
              <w:left w:val="single" w:color="auto" w:sz="6" w:space="0"/>
              <w:bottom w:val="single" w:color="auto" w:sz="6" w:space="0"/>
              <w:right w:val="single" w:color="auto" w:sz="6" w:space="0"/>
            </w:tcBorders>
            <w:noWrap/>
            <w:vAlign w:val="center"/>
          </w:tcPr>
          <w:p w14:paraId="7F9C1D0E">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2</w:t>
            </w:r>
          </w:p>
        </w:tc>
        <w:tc>
          <w:tcPr>
            <w:tcW w:w="1503" w:type="dxa"/>
            <w:tcBorders>
              <w:top w:val="single" w:color="auto" w:sz="6" w:space="0"/>
              <w:left w:val="single" w:color="auto" w:sz="6" w:space="0"/>
              <w:bottom w:val="single" w:color="auto" w:sz="6" w:space="0"/>
              <w:right w:val="single" w:color="auto" w:sz="6" w:space="0"/>
            </w:tcBorders>
            <w:noWrap/>
            <w:vAlign w:val="center"/>
          </w:tcPr>
          <w:p w14:paraId="68027098">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lang w:val="en-US" w:eastAsia="zh-CN"/>
                <w14:textFill>
                  <w14:solidFill>
                    <w14:schemeClr w14:val="tx1"/>
                  </w14:solidFill>
                </w14:textFill>
              </w:rPr>
              <w:t>妇幼保健院</w:t>
            </w:r>
            <w:r>
              <w:rPr>
                <w:rFonts w:hint="eastAsia" w:asciiTheme="minorEastAsia" w:hAnsiTheme="minorEastAsia" w:eastAsiaTheme="minorEastAsia" w:cstheme="minorEastAsia"/>
                <w:bCs/>
                <w:color w:val="000000" w:themeColor="text1"/>
                <w:sz w:val="28"/>
                <w:szCs w:val="28"/>
                <w14:textFill>
                  <w14:solidFill>
                    <w14:schemeClr w14:val="tx1"/>
                  </w14:solidFill>
                </w14:textFill>
              </w:rPr>
              <w:t>（一年）</w:t>
            </w:r>
          </w:p>
        </w:tc>
        <w:tc>
          <w:tcPr>
            <w:tcW w:w="1437" w:type="dxa"/>
            <w:tcBorders>
              <w:top w:val="single" w:color="auto" w:sz="6" w:space="0"/>
              <w:left w:val="single" w:color="auto" w:sz="6" w:space="0"/>
              <w:bottom w:val="single" w:color="auto" w:sz="6" w:space="0"/>
              <w:right w:val="single" w:color="auto" w:sz="6" w:space="0"/>
            </w:tcBorders>
            <w:noWrap/>
            <w:vAlign w:val="center"/>
          </w:tcPr>
          <w:p w14:paraId="7E7A4832">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物业</w:t>
            </w:r>
          </w:p>
          <w:p w14:paraId="1E4228BB">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用工人头费</w:t>
            </w:r>
          </w:p>
        </w:tc>
        <w:tc>
          <w:tcPr>
            <w:tcW w:w="689" w:type="dxa"/>
            <w:tcBorders>
              <w:top w:val="single" w:color="auto" w:sz="6" w:space="0"/>
              <w:left w:val="single" w:color="auto" w:sz="6" w:space="0"/>
              <w:bottom w:val="single" w:color="auto" w:sz="6" w:space="0"/>
              <w:right w:val="single" w:color="auto" w:sz="6" w:space="0"/>
            </w:tcBorders>
            <w:noWrap/>
            <w:vAlign w:val="center"/>
          </w:tcPr>
          <w:p w14:paraId="73AC87A4">
            <w:pPr>
              <w:pStyle w:val="17"/>
              <w:spacing w:after="0"/>
              <w:ind w:firstLine="0" w:firstLineChars="0"/>
              <w:jc w:val="center"/>
              <w:rPr>
                <w:rFonts w:hint="default" w:asciiTheme="minorEastAsia" w:hAnsiTheme="minorEastAsia" w:eastAsiaTheme="minorEastAsia" w:cstheme="minorEastAsia"/>
                <w:bCs/>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lang w:val="en-US" w:eastAsia="zh-CN"/>
                <w14:textFill>
                  <w14:solidFill>
                    <w14:schemeClr w14:val="tx1"/>
                  </w14:solidFill>
                </w14:textFill>
              </w:rPr>
              <w:t>14</w:t>
            </w:r>
          </w:p>
        </w:tc>
        <w:tc>
          <w:tcPr>
            <w:tcW w:w="1772" w:type="dxa"/>
            <w:tcBorders>
              <w:top w:val="single" w:color="auto" w:sz="6" w:space="0"/>
              <w:left w:val="single" w:color="auto" w:sz="6" w:space="0"/>
              <w:bottom w:val="single" w:color="auto" w:sz="6" w:space="0"/>
              <w:right w:val="single" w:color="auto" w:sz="4" w:space="0"/>
            </w:tcBorders>
            <w:noWrap/>
            <w:tcMar>
              <w:top w:w="15" w:type="dxa"/>
              <w:left w:w="15" w:type="dxa"/>
              <w:bottom w:w="0" w:type="dxa"/>
              <w:right w:w="15" w:type="dxa"/>
            </w:tcMar>
            <w:vAlign w:val="center"/>
          </w:tcPr>
          <w:p w14:paraId="4419F8DF">
            <w:pPr>
              <w:pStyle w:val="17"/>
              <w:spacing w:after="0"/>
              <w:ind w:firstLine="0" w:firstLineChars="0"/>
              <w:jc w:val="center"/>
              <w:rPr>
                <w:rFonts w:hint="default" w:asciiTheme="minorEastAsia" w:hAnsiTheme="minorEastAsia" w:eastAsiaTheme="minorEastAsia" w:cstheme="minorEastAsia"/>
                <w:bCs/>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lang w:val="en-US" w:eastAsia="zh-CN"/>
                <w14:textFill>
                  <w14:solidFill>
                    <w14:schemeClr w14:val="tx1"/>
                  </w14:solidFill>
                </w14:textFill>
              </w:rPr>
              <w:t>3744</w:t>
            </w:r>
          </w:p>
        </w:tc>
        <w:tc>
          <w:tcPr>
            <w:tcW w:w="2056" w:type="dxa"/>
            <w:tcBorders>
              <w:top w:val="single" w:color="auto" w:sz="6" w:space="0"/>
              <w:left w:val="single" w:color="auto" w:sz="6" w:space="0"/>
              <w:bottom w:val="single" w:color="auto" w:sz="6" w:space="0"/>
              <w:right w:val="single" w:color="auto" w:sz="4" w:space="0"/>
            </w:tcBorders>
            <w:noWrap/>
            <w:vAlign w:val="center"/>
          </w:tcPr>
          <w:p w14:paraId="1FE97B59">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p>
        </w:tc>
        <w:tc>
          <w:tcPr>
            <w:tcW w:w="1050" w:type="dxa"/>
            <w:tcBorders>
              <w:top w:val="single" w:color="auto" w:sz="6" w:space="0"/>
              <w:left w:val="single" w:color="auto" w:sz="4" w:space="0"/>
              <w:bottom w:val="single" w:color="auto" w:sz="6" w:space="0"/>
              <w:right w:val="single" w:color="auto" w:sz="4" w:space="0"/>
            </w:tcBorders>
            <w:noWrap/>
            <w:vAlign w:val="center"/>
          </w:tcPr>
          <w:p w14:paraId="6A92DB8F">
            <w:pPr>
              <w:pStyle w:val="17"/>
              <w:spacing w:after="0"/>
              <w:ind w:firstLine="0" w:firstLineChars="0"/>
              <w:jc w:val="center"/>
              <w:rPr>
                <w:rFonts w:asciiTheme="minorEastAsia" w:hAnsiTheme="minorEastAsia" w:eastAsiaTheme="minorEastAsia" w:cstheme="minorEastAsia"/>
                <w:bCs/>
                <w:color w:val="000000" w:themeColor="text1"/>
                <w:sz w:val="28"/>
                <w:szCs w:val="28"/>
                <w14:textFill>
                  <w14:solidFill>
                    <w14:schemeClr w14:val="tx1"/>
                  </w14:solidFill>
                </w14:textFill>
              </w:rPr>
            </w:pPr>
          </w:p>
        </w:tc>
      </w:tr>
    </w:tbl>
    <w:p w14:paraId="69855697">
      <w:pPr>
        <w:pStyle w:val="17"/>
        <w:ind w:firstLine="281"/>
        <w:rPr>
          <w:rFonts w:hint="eastAsia" w:hAnsi="楷体" w:eastAsia="楷体"/>
          <w:b/>
          <w:color w:val="000000" w:themeColor="text1"/>
          <w:sz w:val="28"/>
          <w:szCs w:val="28"/>
          <w14:textFill>
            <w14:solidFill>
              <w14:schemeClr w14:val="tx1"/>
            </w14:solidFill>
          </w14:textFill>
        </w:rPr>
      </w:pPr>
    </w:p>
    <w:p w14:paraId="25CD8EC8">
      <w:pPr>
        <w:pStyle w:val="17"/>
        <w:ind w:firstLine="281"/>
        <w:rPr>
          <w:color w:val="0070C0"/>
        </w:rPr>
      </w:pPr>
      <w:r>
        <w:rPr>
          <w:rFonts w:hint="eastAsia" w:hAnsi="楷体" w:eastAsia="楷体"/>
          <w:b/>
          <w:color w:val="000000" w:themeColor="text1"/>
          <w:sz w:val="28"/>
          <w:szCs w:val="28"/>
          <w14:textFill>
            <w14:solidFill>
              <w14:schemeClr w14:val="tx1"/>
            </w14:solidFill>
          </w14:textFill>
        </w:rPr>
        <w:t>3、报价构成表及分析说明格式自拟。</w:t>
      </w:r>
    </w:p>
    <w:sectPr>
      <w:footerReference r:id="rId3" w:type="default"/>
      <w:pgSz w:w="11906" w:h="16838"/>
      <w:pgMar w:top="1440" w:right="1558"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ΟGB2312">
    <w:altName w:val="Courier Ne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326EA3D1">
        <w:pPr>
          <w:pStyle w:val="10"/>
          <w:jc w:val="center"/>
        </w:pPr>
        <w:r>
          <w:fldChar w:fldCharType="begin"/>
        </w:r>
        <w:r>
          <w:instrText xml:space="preserve">PAGE   \* MERGEFORMAT</w:instrText>
        </w:r>
        <w:r>
          <w:fldChar w:fldCharType="separate"/>
        </w:r>
        <w:r>
          <w:rPr>
            <w:lang w:val="zh-CN"/>
          </w:rPr>
          <w:t>1</w:t>
        </w:r>
        <w:r>
          <w:fldChar w:fldCharType="end"/>
        </w:r>
      </w:p>
    </w:sdtContent>
  </w:sdt>
  <w:p w14:paraId="5D39D0B8">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6AC1B6"/>
    <w:multiLevelType w:val="singleLevel"/>
    <w:tmpl w:val="BE6AC1B6"/>
    <w:lvl w:ilvl="0" w:tentative="0">
      <w:start w:val="5"/>
      <w:numFmt w:val="chineseCounting"/>
      <w:suff w:val="space"/>
      <w:lvlText w:val="第%1章"/>
      <w:lvlJc w:val="left"/>
      <w:rPr>
        <w:rFonts w:hint="eastAsia"/>
      </w:rPr>
    </w:lvl>
  </w:abstractNum>
  <w:abstractNum w:abstractNumId="1">
    <w:nsid w:val="E0183C53"/>
    <w:multiLevelType w:val="singleLevel"/>
    <w:tmpl w:val="E0183C53"/>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mNmI3MzhhYzUyOWJlY2Q0ZTRhNjg0YmUxNzRkOWMifQ=="/>
  </w:docVars>
  <w:rsids>
    <w:rsidRoot w:val="00F24CD4"/>
    <w:rsid w:val="000078B6"/>
    <w:rsid w:val="00016641"/>
    <w:rsid w:val="00016A52"/>
    <w:rsid w:val="00020A2E"/>
    <w:rsid w:val="00030D30"/>
    <w:rsid w:val="00034B2D"/>
    <w:rsid w:val="00043A56"/>
    <w:rsid w:val="00047C78"/>
    <w:rsid w:val="00052FEC"/>
    <w:rsid w:val="00056D7A"/>
    <w:rsid w:val="00060F9C"/>
    <w:rsid w:val="00061954"/>
    <w:rsid w:val="00062627"/>
    <w:rsid w:val="0006601B"/>
    <w:rsid w:val="00081434"/>
    <w:rsid w:val="00084A19"/>
    <w:rsid w:val="00091566"/>
    <w:rsid w:val="000934BD"/>
    <w:rsid w:val="0009699F"/>
    <w:rsid w:val="000A0E3B"/>
    <w:rsid w:val="000A720D"/>
    <w:rsid w:val="000B36D7"/>
    <w:rsid w:val="000D0035"/>
    <w:rsid w:val="000D4CB5"/>
    <w:rsid w:val="000E6A49"/>
    <w:rsid w:val="000F02B8"/>
    <w:rsid w:val="000F4C80"/>
    <w:rsid w:val="000F7203"/>
    <w:rsid w:val="001125D0"/>
    <w:rsid w:val="00114A5C"/>
    <w:rsid w:val="00121DDC"/>
    <w:rsid w:val="00125EF1"/>
    <w:rsid w:val="00130DF9"/>
    <w:rsid w:val="00132DD4"/>
    <w:rsid w:val="0014131B"/>
    <w:rsid w:val="00150FED"/>
    <w:rsid w:val="0016346F"/>
    <w:rsid w:val="0016448A"/>
    <w:rsid w:val="001727F2"/>
    <w:rsid w:val="0017591F"/>
    <w:rsid w:val="00177EE0"/>
    <w:rsid w:val="0019223D"/>
    <w:rsid w:val="001A071D"/>
    <w:rsid w:val="001A4B04"/>
    <w:rsid w:val="001A6378"/>
    <w:rsid w:val="001A65D1"/>
    <w:rsid w:val="001B5DBC"/>
    <w:rsid w:val="001C3EE0"/>
    <w:rsid w:val="001C48F9"/>
    <w:rsid w:val="001D076C"/>
    <w:rsid w:val="001E276B"/>
    <w:rsid w:val="001F2F4B"/>
    <w:rsid w:val="001F2FA2"/>
    <w:rsid w:val="001F3FFA"/>
    <w:rsid w:val="001F6455"/>
    <w:rsid w:val="00203D99"/>
    <w:rsid w:val="002149F6"/>
    <w:rsid w:val="00220DE6"/>
    <w:rsid w:val="0022576E"/>
    <w:rsid w:val="00242E7C"/>
    <w:rsid w:val="002562A9"/>
    <w:rsid w:val="00260CE9"/>
    <w:rsid w:val="00270BE5"/>
    <w:rsid w:val="00274C87"/>
    <w:rsid w:val="00277774"/>
    <w:rsid w:val="00281479"/>
    <w:rsid w:val="002A71A1"/>
    <w:rsid w:val="002B66BC"/>
    <w:rsid w:val="002B76F9"/>
    <w:rsid w:val="002C0FC8"/>
    <w:rsid w:val="002C1E07"/>
    <w:rsid w:val="002C5D00"/>
    <w:rsid w:val="002E4C09"/>
    <w:rsid w:val="002F0F9A"/>
    <w:rsid w:val="00321BEE"/>
    <w:rsid w:val="003225BB"/>
    <w:rsid w:val="003340F4"/>
    <w:rsid w:val="0033630F"/>
    <w:rsid w:val="003506E2"/>
    <w:rsid w:val="00351494"/>
    <w:rsid w:val="00352B67"/>
    <w:rsid w:val="003637D2"/>
    <w:rsid w:val="0037724D"/>
    <w:rsid w:val="003805D0"/>
    <w:rsid w:val="00381825"/>
    <w:rsid w:val="003846E2"/>
    <w:rsid w:val="00387E08"/>
    <w:rsid w:val="00390D78"/>
    <w:rsid w:val="00393DF4"/>
    <w:rsid w:val="00394F4C"/>
    <w:rsid w:val="003A2CB1"/>
    <w:rsid w:val="003A6119"/>
    <w:rsid w:val="003A635C"/>
    <w:rsid w:val="003A798E"/>
    <w:rsid w:val="003B0E17"/>
    <w:rsid w:val="003B6A16"/>
    <w:rsid w:val="003D00F1"/>
    <w:rsid w:val="003D5D62"/>
    <w:rsid w:val="003F06EF"/>
    <w:rsid w:val="003F4A6D"/>
    <w:rsid w:val="003F5642"/>
    <w:rsid w:val="00401A76"/>
    <w:rsid w:val="004227B7"/>
    <w:rsid w:val="00422F99"/>
    <w:rsid w:val="004273A2"/>
    <w:rsid w:val="0043186A"/>
    <w:rsid w:val="00467BF6"/>
    <w:rsid w:val="004825D9"/>
    <w:rsid w:val="004846D1"/>
    <w:rsid w:val="00487A3C"/>
    <w:rsid w:val="00490B28"/>
    <w:rsid w:val="00492F57"/>
    <w:rsid w:val="00495D48"/>
    <w:rsid w:val="00496D1D"/>
    <w:rsid w:val="004A133D"/>
    <w:rsid w:val="004A1E85"/>
    <w:rsid w:val="004B6C47"/>
    <w:rsid w:val="004C1448"/>
    <w:rsid w:val="004C266E"/>
    <w:rsid w:val="004D1A7D"/>
    <w:rsid w:val="004D5DBE"/>
    <w:rsid w:val="004E2330"/>
    <w:rsid w:val="004E6288"/>
    <w:rsid w:val="004E637D"/>
    <w:rsid w:val="004F674A"/>
    <w:rsid w:val="00505930"/>
    <w:rsid w:val="00511A86"/>
    <w:rsid w:val="005205E7"/>
    <w:rsid w:val="00524227"/>
    <w:rsid w:val="00527617"/>
    <w:rsid w:val="00532CCE"/>
    <w:rsid w:val="0053456B"/>
    <w:rsid w:val="0053500C"/>
    <w:rsid w:val="005423A1"/>
    <w:rsid w:val="00542C00"/>
    <w:rsid w:val="00545818"/>
    <w:rsid w:val="00562B2E"/>
    <w:rsid w:val="00563375"/>
    <w:rsid w:val="0056756E"/>
    <w:rsid w:val="00571146"/>
    <w:rsid w:val="00573FC2"/>
    <w:rsid w:val="005845F5"/>
    <w:rsid w:val="005A561A"/>
    <w:rsid w:val="005C3349"/>
    <w:rsid w:val="005C3762"/>
    <w:rsid w:val="005D212D"/>
    <w:rsid w:val="005D62FA"/>
    <w:rsid w:val="005E2793"/>
    <w:rsid w:val="005F4BF1"/>
    <w:rsid w:val="00602CB8"/>
    <w:rsid w:val="006375D2"/>
    <w:rsid w:val="00644F30"/>
    <w:rsid w:val="00647AF0"/>
    <w:rsid w:val="00650B20"/>
    <w:rsid w:val="0067027C"/>
    <w:rsid w:val="006825CF"/>
    <w:rsid w:val="00682B15"/>
    <w:rsid w:val="00696C1C"/>
    <w:rsid w:val="006A35DB"/>
    <w:rsid w:val="006B7745"/>
    <w:rsid w:val="006C7AFE"/>
    <w:rsid w:val="006D299D"/>
    <w:rsid w:val="006D7B96"/>
    <w:rsid w:val="006E23DF"/>
    <w:rsid w:val="006F6E5D"/>
    <w:rsid w:val="007078FC"/>
    <w:rsid w:val="0071045F"/>
    <w:rsid w:val="0071261D"/>
    <w:rsid w:val="00716290"/>
    <w:rsid w:val="0074119A"/>
    <w:rsid w:val="00741B2E"/>
    <w:rsid w:val="007471EF"/>
    <w:rsid w:val="007554A7"/>
    <w:rsid w:val="00767B19"/>
    <w:rsid w:val="007D71CE"/>
    <w:rsid w:val="007E53AC"/>
    <w:rsid w:val="007F2883"/>
    <w:rsid w:val="00805370"/>
    <w:rsid w:val="00806623"/>
    <w:rsid w:val="0083067F"/>
    <w:rsid w:val="00832566"/>
    <w:rsid w:val="0085221E"/>
    <w:rsid w:val="0086381A"/>
    <w:rsid w:val="00873257"/>
    <w:rsid w:val="00874B4B"/>
    <w:rsid w:val="00875DCB"/>
    <w:rsid w:val="00884752"/>
    <w:rsid w:val="008923D8"/>
    <w:rsid w:val="008944CC"/>
    <w:rsid w:val="008A2776"/>
    <w:rsid w:val="008B7CF4"/>
    <w:rsid w:val="008C257A"/>
    <w:rsid w:val="008C2736"/>
    <w:rsid w:val="008D5504"/>
    <w:rsid w:val="008E024C"/>
    <w:rsid w:val="008E162E"/>
    <w:rsid w:val="008E250D"/>
    <w:rsid w:val="008F1165"/>
    <w:rsid w:val="00904B62"/>
    <w:rsid w:val="00907222"/>
    <w:rsid w:val="009378D4"/>
    <w:rsid w:val="00952547"/>
    <w:rsid w:val="00977E64"/>
    <w:rsid w:val="009848B3"/>
    <w:rsid w:val="009856BB"/>
    <w:rsid w:val="0099207E"/>
    <w:rsid w:val="00992340"/>
    <w:rsid w:val="00996796"/>
    <w:rsid w:val="00997717"/>
    <w:rsid w:val="00997C8E"/>
    <w:rsid w:val="009A5FE6"/>
    <w:rsid w:val="009A672D"/>
    <w:rsid w:val="009A6E20"/>
    <w:rsid w:val="009B164C"/>
    <w:rsid w:val="009B781D"/>
    <w:rsid w:val="009C779F"/>
    <w:rsid w:val="009D0DD1"/>
    <w:rsid w:val="009E4540"/>
    <w:rsid w:val="009F6FBC"/>
    <w:rsid w:val="00A06AEA"/>
    <w:rsid w:val="00A16F4E"/>
    <w:rsid w:val="00A1767A"/>
    <w:rsid w:val="00A17DE9"/>
    <w:rsid w:val="00A21AE0"/>
    <w:rsid w:val="00A26165"/>
    <w:rsid w:val="00A301DD"/>
    <w:rsid w:val="00A33089"/>
    <w:rsid w:val="00A34B8B"/>
    <w:rsid w:val="00A3682B"/>
    <w:rsid w:val="00A368EE"/>
    <w:rsid w:val="00A36F47"/>
    <w:rsid w:val="00A46E79"/>
    <w:rsid w:val="00A470C3"/>
    <w:rsid w:val="00A54D80"/>
    <w:rsid w:val="00A5644C"/>
    <w:rsid w:val="00A56B1E"/>
    <w:rsid w:val="00A668E1"/>
    <w:rsid w:val="00A76B0B"/>
    <w:rsid w:val="00A8781E"/>
    <w:rsid w:val="00A92B5D"/>
    <w:rsid w:val="00A92B82"/>
    <w:rsid w:val="00A94FFD"/>
    <w:rsid w:val="00AA07F0"/>
    <w:rsid w:val="00AA5695"/>
    <w:rsid w:val="00AA5D5D"/>
    <w:rsid w:val="00AB4011"/>
    <w:rsid w:val="00AB5147"/>
    <w:rsid w:val="00AC5947"/>
    <w:rsid w:val="00AE23EE"/>
    <w:rsid w:val="00AF16F4"/>
    <w:rsid w:val="00B22B7F"/>
    <w:rsid w:val="00B2654F"/>
    <w:rsid w:val="00B274DF"/>
    <w:rsid w:val="00B42117"/>
    <w:rsid w:val="00B5443F"/>
    <w:rsid w:val="00B72F9A"/>
    <w:rsid w:val="00B80030"/>
    <w:rsid w:val="00B83EBC"/>
    <w:rsid w:val="00B93086"/>
    <w:rsid w:val="00B943E4"/>
    <w:rsid w:val="00BA7CA7"/>
    <w:rsid w:val="00BB46CC"/>
    <w:rsid w:val="00BB5373"/>
    <w:rsid w:val="00BB6EFF"/>
    <w:rsid w:val="00BC28C6"/>
    <w:rsid w:val="00BC758A"/>
    <w:rsid w:val="00BD42FA"/>
    <w:rsid w:val="00BD6078"/>
    <w:rsid w:val="00BE4092"/>
    <w:rsid w:val="00C0745E"/>
    <w:rsid w:val="00C1620B"/>
    <w:rsid w:val="00C2155D"/>
    <w:rsid w:val="00C21E0B"/>
    <w:rsid w:val="00C2469B"/>
    <w:rsid w:val="00C27B7E"/>
    <w:rsid w:val="00C345A1"/>
    <w:rsid w:val="00C43EE5"/>
    <w:rsid w:val="00C57323"/>
    <w:rsid w:val="00C61A2C"/>
    <w:rsid w:val="00C70C0F"/>
    <w:rsid w:val="00C72133"/>
    <w:rsid w:val="00C73680"/>
    <w:rsid w:val="00C74E04"/>
    <w:rsid w:val="00C80F88"/>
    <w:rsid w:val="00C97304"/>
    <w:rsid w:val="00CA70E0"/>
    <w:rsid w:val="00CB5140"/>
    <w:rsid w:val="00CB5A9E"/>
    <w:rsid w:val="00CC04F8"/>
    <w:rsid w:val="00CC4EA0"/>
    <w:rsid w:val="00CD705A"/>
    <w:rsid w:val="00CE25FF"/>
    <w:rsid w:val="00CE2AE3"/>
    <w:rsid w:val="00CE2ED5"/>
    <w:rsid w:val="00CE5DC4"/>
    <w:rsid w:val="00CF19E6"/>
    <w:rsid w:val="00CF3B22"/>
    <w:rsid w:val="00D04BBA"/>
    <w:rsid w:val="00D12921"/>
    <w:rsid w:val="00D12B0E"/>
    <w:rsid w:val="00D14969"/>
    <w:rsid w:val="00D164D4"/>
    <w:rsid w:val="00D23952"/>
    <w:rsid w:val="00D271EB"/>
    <w:rsid w:val="00D3555B"/>
    <w:rsid w:val="00D81472"/>
    <w:rsid w:val="00D85650"/>
    <w:rsid w:val="00D87EEB"/>
    <w:rsid w:val="00D93B90"/>
    <w:rsid w:val="00D93FCB"/>
    <w:rsid w:val="00DA553D"/>
    <w:rsid w:val="00DA5D08"/>
    <w:rsid w:val="00DA7A8D"/>
    <w:rsid w:val="00DB4BA2"/>
    <w:rsid w:val="00DD3600"/>
    <w:rsid w:val="00DD7B1B"/>
    <w:rsid w:val="00DE1084"/>
    <w:rsid w:val="00DE1A3F"/>
    <w:rsid w:val="00DF034E"/>
    <w:rsid w:val="00DF0EFB"/>
    <w:rsid w:val="00E036A7"/>
    <w:rsid w:val="00E123D2"/>
    <w:rsid w:val="00E13587"/>
    <w:rsid w:val="00E20F6B"/>
    <w:rsid w:val="00E24321"/>
    <w:rsid w:val="00E24ABA"/>
    <w:rsid w:val="00E271C9"/>
    <w:rsid w:val="00E27970"/>
    <w:rsid w:val="00E31D58"/>
    <w:rsid w:val="00E41917"/>
    <w:rsid w:val="00E64219"/>
    <w:rsid w:val="00E70C4D"/>
    <w:rsid w:val="00E745C2"/>
    <w:rsid w:val="00E80FDE"/>
    <w:rsid w:val="00E83099"/>
    <w:rsid w:val="00E846D9"/>
    <w:rsid w:val="00EA249A"/>
    <w:rsid w:val="00EA2D35"/>
    <w:rsid w:val="00EB0902"/>
    <w:rsid w:val="00EC7A80"/>
    <w:rsid w:val="00ED19B1"/>
    <w:rsid w:val="00ED296B"/>
    <w:rsid w:val="00ED76A7"/>
    <w:rsid w:val="00EE1722"/>
    <w:rsid w:val="00EE5E70"/>
    <w:rsid w:val="00EF369D"/>
    <w:rsid w:val="00EF5276"/>
    <w:rsid w:val="00EF5FB0"/>
    <w:rsid w:val="00EF6305"/>
    <w:rsid w:val="00F0060A"/>
    <w:rsid w:val="00F06C37"/>
    <w:rsid w:val="00F13A48"/>
    <w:rsid w:val="00F13BC3"/>
    <w:rsid w:val="00F153D1"/>
    <w:rsid w:val="00F15B20"/>
    <w:rsid w:val="00F24CD4"/>
    <w:rsid w:val="00F256C3"/>
    <w:rsid w:val="00F3547E"/>
    <w:rsid w:val="00F36B06"/>
    <w:rsid w:val="00F446FE"/>
    <w:rsid w:val="00F52B12"/>
    <w:rsid w:val="00F55D80"/>
    <w:rsid w:val="00F57104"/>
    <w:rsid w:val="00F73ACC"/>
    <w:rsid w:val="00F75D40"/>
    <w:rsid w:val="00F80386"/>
    <w:rsid w:val="00F82EA7"/>
    <w:rsid w:val="00F872B0"/>
    <w:rsid w:val="00F96656"/>
    <w:rsid w:val="00F96F60"/>
    <w:rsid w:val="00F978C6"/>
    <w:rsid w:val="00FA081C"/>
    <w:rsid w:val="00FA4AE3"/>
    <w:rsid w:val="00FB7040"/>
    <w:rsid w:val="00FC2240"/>
    <w:rsid w:val="00FC3465"/>
    <w:rsid w:val="00FC60C2"/>
    <w:rsid w:val="00FC67E5"/>
    <w:rsid w:val="00FE42A4"/>
    <w:rsid w:val="00FE46D2"/>
    <w:rsid w:val="00FE6AF3"/>
    <w:rsid w:val="00FF304F"/>
    <w:rsid w:val="00FF38B6"/>
    <w:rsid w:val="018A58CB"/>
    <w:rsid w:val="01BB5A85"/>
    <w:rsid w:val="01BC18F3"/>
    <w:rsid w:val="01C35DFF"/>
    <w:rsid w:val="020D16F7"/>
    <w:rsid w:val="02421677"/>
    <w:rsid w:val="024571C8"/>
    <w:rsid w:val="02CF7A3A"/>
    <w:rsid w:val="031F2043"/>
    <w:rsid w:val="0429076D"/>
    <w:rsid w:val="045D2E23"/>
    <w:rsid w:val="052A284F"/>
    <w:rsid w:val="052C3C21"/>
    <w:rsid w:val="053A45A8"/>
    <w:rsid w:val="05BE70E7"/>
    <w:rsid w:val="05C869C2"/>
    <w:rsid w:val="05E56800"/>
    <w:rsid w:val="05F8235F"/>
    <w:rsid w:val="062322D8"/>
    <w:rsid w:val="0678621C"/>
    <w:rsid w:val="06E15AD9"/>
    <w:rsid w:val="06F20FC3"/>
    <w:rsid w:val="077D4D47"/>
    <w:rsid w:val="07877488"/>
    <w:rsid w:val="07FA52BB"/>
    <w:rsid w:val="081C4DA3"/>
    <w:rsid w:val="08253634"/>
    <w:rsid w:val="083E4D1A"/>
    <w:rsid w:val="08A55394"/>
    <w:rsid w:val="09905A49"/>
    <w:rsid w:val="0A424CC5"/>
    <w:rsid w:val="0A543B62"/>
    <w:rsid w:val="0B2C17A1"/>
    <w:rsid w:val="0B3D6A6B"/>
    <w:rsid w:val="0B751115"/>
    <w:rsid w:val="0B7E1CB6"/>
    <w:rsid w:val="0BEB340A"/>
    <w:rsid w:val="0C2D57D1"/>
    <w:rsid w:val="0C3703FE"/>
    <w:rsid w:val="0CA4630A"/>
    <w:rsid w:val="0CDF1866"/>
    <w:rsid w:val="0D7D62E4"/>
    <w:rsid w:val="0D851C9F"/>
    <w:rsid w:val="0DA052A3"/>
    <w:rsid w:val="0DAE2B79"/>
    <w:rsid w:val="0E150EAB"/>
    <w:rsid w:val="0E2B5D40"/>
    <w:rsid w:val="0EEA79A9"/>
    <w:rsid w:val="0EFE5FCF"/>
    <w:rsid w:val="0F093F3B"/>
    <w:rsid w:val="0FB415D5"/>
    <w:rsid w:val="10204215"/>
    <w:rsid w:val="102860E3"/>
    <w:rsid w:val="104B3917"/>
    <w:rsid w:val="107734BE"/>
    <w:rsid w:val="108C60CA"/>
    <w:rsid w:val="10F73F19"/>
    <w:rsid w:val="11490D75"/>
    <w:rsid w:val="117B581C"/>
    <w:rsid w:val="11B204FF"/>
    <w:rsid w:val="12190877"/>
    <w:rsid w:val="12541D09"/>
    <w:rsid w:val="12A8305E"/>
    <w:rsid w:val="12A8611D"/>
    <w:rsid w:val="12B37438"/>
    <w:rsid w:val="132D1E9E"/>
    <w:rsid w:val="133F6D99"/>
    <w:rsid w:val="135451EE"/>
    <w:rsid w:val="146F7727"/>
    <w:rsid w:val="14991C55"/>
    <w:rsid w:val="14E7475B"/>
    <w:rsid w:val="15455939"/>
    <w:rsid w:val="165E3157"/>
    <w:rsid w:val="16AA5140"/>
    <w:rsid w:val="17441DA1"/>
    <w:rsid w:val="17456EA2"/>
    <w:rsid w:val="17A81C09"/>
    <w:rsid w:val="17AE342C"/>
    <w:rsid w:val="17C74D2B"/>
    <w:rsid w:val="17F0752F"/>
    <w:rsid w:val="18133C3A"/>
    <w:rsid w:val="187B4002"/>
    <w:rsid w:val="19377E5F"/>
    <w:rsid w:val="1943335F"/>
    <w:rsid w:val="1991739F"/>
    <w:rsid w:val="1AA807B0"/>
    <w:rsid w:val="1AB31FBD"/>
    <w:rsid w:val="1AB86070"/>
    <w:rsid w:val="1B5078B5"/>
    <w:rsid w:val="1CA53161"/>
    <w:rsid w:val="1D13631D"/>
    <w:rsid w:val="1E257E33"/>
    <w:rsid w:val="1E3B5B2B"/>
    <w:rsid w:val="1EBF689B"/>
    <w:rsid w:val="1EE60968"/>
    <w:rsid w:val="1F0028D1"/>
    <w:rsid w:val="1F5F584A"/>
    <w:rsid w:val="1FE30229"/>
    <w:rsid w:val="20196410"/>
    <w:rsid w:val="208732AA"/>
    <w:rsid w:val="20ED1916"/>
    <w:rsid w:val="2229482B"/>
    <w:rsid w:val="22486A69"/>
    <w:rsid w:val="22F95FB5"/>
    <w:rsid w:val="232623FE"/>
    <w:rsid w:val="2342795C"/>
    <w:rsid w:val="237B03AA"/>
    <w:rsid w:val="238E3BA3"/>
    <w:rsid w:val="23A2644A"/>
    <w:rsid w:val="24B87AB6"/>
    <w:rsid w:val="2529258A"/>
    <w:rsid w:val="254038D8"/>
    <w:rsid w:val="262C125B"/>
    <w:rsid w:val="26C6686A"/>
    <w:rsid w:val="27DA086F"/>
    <w:rsid w:val="28946B3B"/>
    <w:rsid w:val="28BE0379"/>
    <w:rsid w:val="28DC0900"/>
    <w:rsid w:val="294A2B7B"/>
    <w:rsid w:val="297B3BC8"/>
    <w:rsid w:val="29EA4A74"/>
    <w:rsid w:val="2A1F09F7"/>
    <w:rsid w:val="2A2B55D0"/>
    <w:rsid w:val="2A3856FA"/>
    <w:rsid w:val="2AC80842"/>
    <w:rsid w:val="2AC84BEB"/>
    <w:rsid w:val="2AEC1E8B"/>
    <w:rsid w:val="2B22029D"/>
    <w:rsid w:val="2B8C2DFF"/>
    <w:rsid w:val="2C136339"/>
    <w:rsid w:val="2C314CC7"/>
    <w:rsid w:val="2CF0667B"/>
    <w:rsid w:val="2D1C2FCC"/>
    <w:rsid w:val="2D7B616B"/>
    <w:rsid w:val="2DE0049D"/>
    <w:rsid w:val="2E6E69EE"/>
    <w:rsid w:val="2F4221ED"/>
    <w:rsid w:val="308928A7"/>
    <w:rsid w:val="30E93CD8"/>
    <w:rsid w:val="30FA690C"/>
    <w:rsid w:val="312F0409"/>
    <w:rsid w:val="31451C1E"/>
    <w:rsid w:val="3149291E"/>
    <w:rsid w:val="318C6F4C"/>
    <w:rsid w:val="322B4EB9"/>
    <w:rsid w:val="323D7F4A"/>
    <w:rsid w:val="32782E94"/>
    <w:rsid w:val="32A76455"/>
    <w:rsid w:val="32E60ABA"/>
    <w:rsid w:val="32FB3683"/>
    <w:rsid w:val="33827835"/>
    <w:rsid w:val="341727DA"/>
    <w:rsid w:val="346E4944"/>
    <w:rsid w:val="348C4CBD"/>
    <w:rsid w:val="34A17A33"/>
    <w:rsid w:val="35507CB7"/>
    <w:rsid w:val="355347BD"/>
    <w:rsid w:val="355552CD"/>
    <w:rsid w:val="36AA2B75"/>
    <w:rsid w:val="370E4DEF"/>
    <w:rsid w:val="378A336E"/>
    <w:rsid w:val="37922808"/>
    <w:rsid w:val="37CB536B"/>
    <w:rsid w:val="37EC1571"/>
    <w:rsid w:val="37EF129E"/>
    <w:rsid w:val="381A45AC"/>
    <w:rsid w:val="394B4892"/>
    <w:rsid w:val="39622FDF"/>
    <w:rsid w:val="399379B2"/>
    <w:rsid w:val="3A303E01"/>
    <w:rsid w:val="3A970C72"/>
    <w:rsid w:val="3AFE2232"/>
    <w:rsid w:val="3BA83B59"/>
    <w:rsid w:val="3BAE7806"/>
    <w:rsid w:val="3BDA15E6"/>
    <w:rsid w:val="3C3F7BBE"/>
    <w:rsid w:val="3C931926"/>
    <w:rsid w:val="3D683537"/>
    <w:rsid w:val="3D9C6B96"/>
    <w:rsid w:val="3DE33F6B"/>
    <w:rsid w:val="3E2E2B5F"/>
    <w:rsid w:val="3E3E1F43"/>
    <w:rsid w:val="3FB5685E"/>
    <w:rsid w:val="3FBB6674"/>
    <w:rsid w:val="3FE060DB"/>
    <w:rsid w:val="400F2D48"/>
    <w:rsid w:val="406805AA"/>
    <w:rsid w:val="40F75247"/>
    <w:rsid w:val="41361918"/>
    <w:rsid w:val="414D1E51"/>
    <w:rsid w:val="41670862"/>
    <w:rsid w:val="41FC54BE"/>
    <w:rsid w:val="424C7A58"/>
    <w:rsid w:val="425F737C"/>
    <w:rsid w:val="42AB6E74"/>
    <w:rsid w:val="42BA6A61"/>
    <w:rsid w:val="42CF56DB"/>
    <w:rsid w:val="42F92F33"/>
    <w:rsid w:val="433E1A96"/>
    <w:rsid w:val="43763B0B"/>
    <w:rsid w:val="43A23DD3"/>
    <w:rsid w:val="43A77F8D"/>
    <w:rsid w:val="43C20EE5"/>
    <w:rsid w:val="43E34246"/>
    <w:rsid w:val="43E80323"/>
    <w:rsid w:val="44342371"/>
    <w:rsid w:val="443F5AC6"/>
    <w:rsid w:val="444634F5"/>
    <w:rsid w:val="44550E45"/>
    <w:rsid w:val="445B54B0"/>
    <w:rsid w:val="4475773A"/>
    <w:rsid w:val="44D426B2"/>
    <w:rsid w:val="45563B4C"/>
    <w:rsid w:val="45B30645"/>
    <w:rsid w:val="46090D9F"/>
    <w:rsid w:val="463827CD"/>
    <w:rsid w:val="48157B15"/>
    <w:rsid w:val="48B74C60"/>
    <w:rsid w:val="49477898"/>
    <w:rsid w:val="49753D38"/>
    <w:rsid w:val="49AA39E1"/>
    <w:rsid w:val="4A660114"/>
    <w:rsid w:val="4B3A6FE7"/>
    <w:rsid w:val="4BCE2987"/>
    <w:rsid w:val="4C8F3CB7"/>
    <w:rsid w:val="4CE87A1F"/>
    <w:rsid w:val="4D0B3391"/>
    <w:rsid w:val="4DD454D1"/>
    <w:rsid w:val="4E2468B8"/>
    <w:rsid w:val="4E6A7BE3"/>
    <w:rsid w:val="4E751761"/>
    <w:rsid w:val="4EFC0A88"/>
    <w:rsid w:val="4F075432"/>
    <w:rsid w:val="4F1A33B7"/>
    <w:rsid w:val="4F1B52F5"/>
    <w:rsid w:val="4F412C02"/>
    <w:rsid w:val="4F4711F6"/>
    <w:rsid w:val="4F7306F5"/>
    <w:rsid w:val="4FC450D1"/>
    <w:rsid w:val="500D4681"/>
    <w:rsid w:val="50B05655"/>
    <w:rsid w:val="50CC0757"/>
    <w:rsid w:val="51960CEF"/>
    <w:rsid w:val="51A06D72"/>
    <w:rsid w:val="51A647D1"/>
    <w:rsid w:val="523D453F"/>
    <w:rsid w:val="52F91162"/>
    <w:rsid w:val="53370074"/>
    <w:rsid w:val="533E1DBC"/>
    <w:rsid w:val="53666F80"/>
    <w:rsid w:val="54FD0A7F"/>
    <w:rsid w:val="55967510"/>
    <w:rsid w:val="55E91F5E"/>
    <w:rsid w:val="55F873F7"/>
    <w:rsid w:val="56705E00"/>
    <w:rsid w:val="570566FB"/>
    <w:rsid w:val="570A535C"/>
    <w:rsid w:val="57212E6F"/>
    <w:rsid w:val="573174F0"/>
    <w:rsid w:val="579B705F"/>
    <w:rsid w:val="58615BB3"/>
    <w:rsid w:val="58A07DE8"/>
    <w:rsid w:val="58B26EC7"/>
    <w:rsid w:val="58F033DB"/>
    <w:rsid w:val="59017396"/>
    <w:rsid w:val="59417793"/>
    <w:rsid w:val="5A1B4488"/>
    <w:rsid w:val="5AFF7905"/>
    <w:rsid w:val="5B372BFB"/>
    <w:rsid w:val="5C0276AD"/>
    <w:rsid w:val="5C5F065B"/>
    <w:rsid w:val="5C740FA5"/>
    <w:rsid w:val="5CCB5CF1"/>
    <w:rsid w:val="5CD56B70"/>
    <w:rsid w:val="5D5F4E77"/>
    <w:rsid w:val="5D956FF3"/>
    <w:rsid w:val="5DBF5C0A"/>
    <w:rsid w:val="5E6D4B86"/>
    <w:rsid w:val="5EAD6140"/>
    <w:rsid w:val="5EC818D1"/>
    <w:rsid w:val="60692C88"/>
    <w:rsid w:val="60E23609"/>
    <w:rsid w:val="612D18A0"/>
    <w:rsid w:val="61687227"/>
    <w:rsid w:val="619B699A"/>
    <w:rsid w:val="624665A5"/>
    <w:rsid w:val="62F45876"/>
    <w:rsid w:val="6311467A"/>
    <w:rsid w:val="639367F1"/>
    <w:rsid w:val="63C57BFC"/>
    <w:rsid w:val="645446EA"/>
    <w:rsid w:val="65BC2708"/>
    <w:rsid w:val="65DB6CD8"/>
    <w:rsid w:val="65EC2D0E"/>
    <w:rsid w:val="65FD3DB0"/>
    <w:rsid w:val="66033642"/>
    <w:rsid w:val="662740BC"/>
    <w:rsid w:val="664B4BAE"/>
    <w:rsid w:val="665C2657"/>
    <w:rsid w:val="667E3DD4"/>
    <w:rsid w:val="67552C67"/>
    <w:rsid w:val="676463C0"/>
    <w:rsid w:val="679C0EF0"/>
    <w:rsid w:val="67C82386"/>
    <w:rsid w:val="680E2F36"/>
    <w:rsid w:val="68497557"/>
    <w:rsid w:val="687011B3"/>
    <w:rsid w:val="68755967"/>
    <w:rsid w:val="694D7B54"/>
    <w:rsid w:val="69907DBE"/>
    <w:rsid w:val="6AFF5F1C"/>
    <w:rsid w:val="6B3A6320"/>
    <w:rsid w:val="6B791801"/>
    <w:rsid w:val="6B99750F"/>
    <w:rsid w:val="6C256AA0"/>
    <w:rsid w:val="6C7353BC"/>
    <w:rsid w:val="6CBE5332"/>
    <w:rsid w:val="6CCF5389"/>
    <w:rsid w:val="6D7442E5"/>
    <w:rsid w:val="6E9D582D"/>
    <w:rsid w:val="6EDF5173"/>
    <w:rsid w:val="6F927E36"/>
    <w:rsid w:val="6F99623C"/>
    <w:rsid w:val="71AE56D4"/>
    <w:rsid w:val="72A414C0"/>
    <w:rsid w:val="72AC7F1B"/>
    <w:rsid w:val="72AF5EFB"/>
    <w:rsid w:val="73A326FD"/>
    <w:rsid w:val="73D019E7"/>
    <w:rsid w:val="74253AE1"/>
    <w:rsid w:val="7429582C"/>
    <w:rsid w:val="74343D24"/>
    <w:rsid w:val="743B3304"/>
    <w:rsid w:val="750202C6"/>
    <w:rsid w:val="752972CF"/>
    <w:rsid w:val="75735A35"/>
    <w:rsid w:val="76961786"/>
    <w:rsid w:val="76962638"/>
    <w:rsid w:val="76E63080"/>
    <w:rsid w:val="772F0D4F"/>
    <w:rsid w:val="779D60E5"/>
    <w:rsid w:val="77E617D9"/>
    <w:rsid w:val="783C3AEF"/>
    <w:rsid w:val="78852686"/>
    <w:rsid w:val="794B6EF7"/>
    <w:rsid w:val="798B6ADC"/>
    <w:rsid w:val="79CE69C9"/>
    <w:rsid w:val="7A182252"/>
    <w:rsid w:val="7A3E7BA1"/>
    <w:rsid w:val="7AB91427"/>
    <w:rsid w:val="7ACF310D"/>
    <w:rsid w:val="7B3667E8"/>
    <w:rsid w:val="7B7C11F9"/>
    <w:rsid w:val="7B7D4482"/>
    <w:rsid w:val="7CB023B6"/>
    <w:rsid w:val="7E353C4D"/>
    <w:rsid w:val="7F583CA8"/>
    <w:rsid w:val="7FBF303C"/>
    <w:rsid w:val="7FEB4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name="index 9"/>
    <w:lsdException w:uiPriority="39" w:name="toc 1"/>
    <w:lsdException w:qFormat="1" w:unhideWhenUsed="0" w:uiPriority="39" w:semiHidden="0" w:name="toc 2"/>
    <w:lsdException w:uiPriority="39" w:name="toc 3"/>
    <w:lsdException w:uiPriority="39" w:name="toc 4"/>
    <w:lsdException w:qFormat="1" w:unhideWhenUsed="0" w:uiPriority="9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unhideWhenUsed/>
    <w:qFormat/>
    <w:uiPriority w:val="99"/>
    <w:rPr>
      <w:rFonts w:ascii="宋体"/>
      <w:sz w:val="18"/>
      <w:szCs w:val="18"/>
    </w:rPr>
  </w:style>
  <w:style w:type="paragraph" w:styleId="5">
    <w:name w:val="annotation text"/>
    <w:basedOn w:val="1"/>
    <w:link w:val="37"/>
    <w:unhideWhenUsed/>
    <w:qFormat/>
    <w:uiPriority w:val="99"/>
    <w:pPr>
      <w:jc w:val="left"/>
    </w:pPr>
  </w:style>
  <w:style w:type="paragraph" w:styleId="6">
    <w:name w:val="Body Text"/>
    <w:basedOn w:val="1"/>
    <w:link w:val="28"/>
    <w:qFormat/>
    <w:uiPriority w:val="99"/>
    <w:pPr>
      <w:spacing w:after="120"/>
    </w:pPr>
  </w:style>
  <w:style w:type="paragraph" w:styleId="7">
    <w:name w:val="Body Text Indent"/>
    <w:basedOn w:val="1"/>
    <w:unhideWhenUsed/>
    <w:qFormat/>
    <w:uiPriority w:val="99"/>
    <w:pPr>
      <w:spacing w:after="120"/>
      <w:ind w:left="420" w:leftChars="200"/>
    </w:pPr>
  </w:style>
  <w:style w:type="paragraph" w:styleId="8">
    <w:name w:val="toc 5"/>
    <w:basedOn w:val="1"/>
    <w:next w:val="1"/>
    <w:qFormat/>
    <w:uiPriority w:val="99"/>
    <w:pPr>
      <w:ind w:left="1680" w:leftChars="800"/>
    </w:pPr>
    <w:rPr>
      <w:rFonts w:ascii="Calibri" w:hAnsi="Calibri"/>
      <w:szCs w:val="22"/>
    </w:rPr>
  </w:style>
  <w:style w:type="paragraph" w:styleId="9">
    <w:name w:val="Balloon Text"/>
    <w:basedOn w:val="1"/>
    <w:link w:val="35"/>
    <w:semiHidden/>
    <w:unhideWhenUsed/>
    <w:qFormat/>
    <w:uiPriority w:val="99"/>
    <w:rPr>
      <w:sz w:val="18"/>
      <w:szCs w:val="18"/>
    </w:rPr>
  </w:style>
  <w:style w:type="paragraph" w:styleId="10">
    <w:name w:val="footer"/>
    <w:basedOn w:val="1"/>
    <w:link w:val="34"/>
    <w:unhideWhenUsed/>
    <w:qFormat/>
    <w:uiPriority w:val="99"/>
    <w:pPr>
      <w:tabs>
        <w:tab w:val="center" w:pos="4153"/>
        <w:tab w:val="right" w:pos="8306"/>
      </w:tabs>
      <w:snapToGrid w:val="0"/>
      <w:jc w:val="left"/>
    </w:pPr>
    <w:rPr>
      <w:sz w:val="18"/>
      <w:szCs w:val="18"/>
    </w:rPr>
  </w:style>
  <w:style w:type="paragraph" w:styleId="11">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Indent 3"/>
    <w:basedOn w:val="1"/>
    <w:link w:val="29"/>
    <w:qFormat/>
    <w:uiPriority w:val="99"/>
    <w:pPr>
      <w:ind w:left="645" w:firstLine="645"/>
    </w:pPr>
    <w:rPr>
      <w:rFonts w:ascii="Arial" w:hAnsi="Arial" w:eastAsia="仿宋_GB2312"/>
      <w:color w:val="FFFF00"/>
      <w:sz w:val="32"/>
      <w:szCs w:val="20"/>
    </w:rPr>
  </w:style>
  <w:style w:type="paragraph" w:styleId="13">
    <w:name w:val="index 9"/>
    <w:basedOn w:val="1"/>
    <w:next w:val="1"/>
    <w:semiHidden/>
    <w:unhideWhenUsed/>
    <w:qFormat/>
    <w:uiPriority w:val="99"/>
    <w:pPr>
      <w:ind w:left="1600" w:leftChars="1600"/>
    </w:pPr>
  </w:style>
  <w:style w:type="paragraph" w:styleId="14">
    <w:name w:val="toc 2"/>
    <w:basedOn w:val="1"/>
    <w:next w:val="1"/>
    <w:qFormat/>
    <w:uiPriority w:val="39"/>
    <w:pPr>
      <w:ind w:left="210"/>
      <w:jc w:val="left"/>
    </w:pPr>
    <w:rPr>
      <w:smallCaps/>
      <w:sz w:val="20"/>
      <w:szCs w:val="20"/>
    </w:rPr>
  </w:style>
  <w:style w:type="paragraph" w:styleId="15">
    <w:name w:val="Normal (Web)"/>
    <w:basedOn w:val="1"/>
    <w:qFormat/>
    <w:uiPriority w:val="99"/>
    <w:pPr>
      <w:spacing w:before="150" w:after="150" w:line="480" w:lineRule="auto"/>
      <w:jc w:val="left"/>
    </w:pPr>
    <w:rPr>
      <w:rFonts w:hint="eastAsia" w:ascii="宋体" w:hAnsi="宋体"/>
      <w:color w:val="000000"/>
    </w:rPr>
  </w:style>
  <w:style w:type="paragraph" w:styleId="16">
    <w:name w:val="annotation subject"/>
    <w:basedOn w:val="5"/>
    <w:next w:val="5"/>
    <w:link w:val="38"/>
    <w:semiHidden/>
    <w:unhideWhenUsed/>
    <w:qFormat/>
    <w:uiPriority w:val="99"/>
    <w:rPr>
      <w:b/>
      <w:bCs/>
    </w:rPr>
  </w:style>
  <w:style w:type="paragraph" w:styleId="17">
    <w:name w:val="Body Text First Indent"/>
    <w:basedOn w:val="6"/>
    <w:qFormat/>
    <w:uiPriority w:val="0"/>
    <w:pPr>
      <w:ind w:firstLine="420" w:firstLineChars="100"/>
    </w:pPr>
  </w:style>
  <w:style w:type="table" w:styleId="19">
    <w:name w:val="Table Grid"/>
    <w:basedOn w:val="1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FollowedHyperlink"/>
    <w:basedOn w:val="20"/>
    <w:semiHidden/>
    <w:unhideWhenUsed/>
    <w:qFormat/>
    <w:uiPriority w:val="99"/>
    <w:rPr>
      <w:color w:val="333333"/>
      <w:u w:val="none"/>
    </w:rPr>
  </w:style>
  <w:style w:type="character" w:styleId="22">
    <w:name w:val="Hyperlink"/>
    <w:qFormat/>
    <w:uiPriority w:val="99"/>
    <w:rPr>
      <w:rFonts w:cs="Times New Roman"/>
      <w:color w:val="336699"/>
      <w:sz w:val="18"/>
      <w:u w:val="none"/>
    </w:rPr>
  </w:style>
  <w:style w:type="character" w:styleId="23">
    <w:name w:val="annotation reference"/>
    <w:basedOn w:val="20"/>
    <w:semiHidden/>
    <w:unhideWhenUsed/>
    <w:qFormat/>
    <w:uiPriority w:val="99"/>
    <w:rPr>
      <w:sz w:val="21"/>
      <w:szCs w:val="21"/>
    </w:rPr>
  </w:style>
  <w:style w:type="paragraph" w:customStyle="1" w:styleId="24">
    <w:name w:val="正文首行缩进 21"/>
    <w:basedOn w:val="25"/>
    <w:unhideWhenUsed/>
    <w:qFormat/>
    <w:uiPriority w:val="0"/>
    <w:pPr>
      <w:spacing w:after="0" w:line="360" w:lineRule="auto"/>
      <w:ind w:left="0" w:firstLine="420"/>
    </w:pPr>
    <w:rPr>
      <w:rFonts w:ascii="宋体" w:hAnsi="宋体"/>
      <w:szCs w:val="20"/>
    </w:rPr>
  </w:style>
  <w:style w:type="paragraph" w:customStyle="1" w:styleId="25">
    <w:name w:val="正文文本缩进11"/>
    <w:basedOn w:val="1"/>
    <w:unhideWhenUsed/>
    <w:qFormat/>
    <w:uiPriority w:val="99"/>
    <w:pPr>
      <w:spacing w:after="120"/>
      <w:ind w:left="420"/>
    </w:pPr>
  </w:style>
  <w:style w:type="character" w:customStyle="1" w:styleId="26">
    <w:name w:val="正文文本 Char"/>
    <w:basedOn w:val="20"/>
    <w:semiHidden/>
    <w:qFormat/>
    <w:uiPriority w:val="99"/>
    <w:rPr>
      <w:rFonts w:ascii="Times New Roman" w:hAnsi="Times New Roman" w:eastAsia="宋体" w:cs="Times New Roman"/>
      <w:kern w:val="0"/>
      <w:sz w:val="24"/>
      <w:szCs w:val="24"/>
    </w:rPr>
  </w:style>
  <w:style w:type="character" w:customStyle="1" w:styleId="27">
    <w:name w:val="正文文本缩进 3 Char"/>
    <w:basedOn w:val="20"/>
    <w:semiHidden/>
    <w:qFormat/>
    <w:uiPriority w:val="99"/>
    <w:rPr>
      <w:rFonts w:ascii="Times New Roman" w:hAnsi="Times New Roman" w:eastAsia="宋体" w:cs="Times New Roman"/>
      <w:kern w:val="0"/>
      <w:sz w:val="16"/>
      <w:szCs w:val="16"/>
    </w:rPr>
  </w:style>
  <w:style w:type="character" w:customStyle="1" w:styleId="28">
    <w:name w:val="正文文本 Char1"/>
    <w:link w:val="6"/>
    <w:qFormat/>
    <w:locked/>
    <w:uiPriority w:val="99"/>
    <w:rPr>
      <w:rFonts w:ascii="Times New Roman" w:hAnsi="Times New Roman" w:eastAsia="宋体" w:cs="Times New Roman"/>
      <w:kern w:val="0"/>
      <w:sz w:val="24"/>
      <w:szCs w:val="24"/>
    </w:rPr>
  </w:style>
  <w:style w:type="character" w:customStyle="1" w:styleId="29">
    <w:name w:val="正文文本缩进 3 Char1"/>
    <w:link w:val="12"/>
    <w:qFormat/>
    <w:locked/>
    <w:uiPriority w:val="99"/>
    <w:rPr>
      <w:rFonts w:ascii="Arial" w:hAnsi="Arial" w:eastAsia="仿宋_GB2312" w:cs="Times New Roman"/>
      <w:color w:val="FFFF00"/>
      <w:kern w:val="0"/>
      <w:sz w:val="32"/>
      <w:szCs w:val="20"/>
    </w:rPr>
  </w:style>
  <w:style w:type="paragraph" w:customStyle="1" w:styleId="30">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1">
    <w:name w:val="WPS Plain"/>
    <w:qFormat/>
    <w:uiPriority w:val="0"/>
    <w:rPr>
      <w:rFonts w:ascii="Times New Roman" w:hAnsi="Times New Roman" w:eastAsia="宋体" w:cs="Times New Roman"/>
      <w:lang w:val="en-US" w:eastAsia="zh-CN" w:bidi="ar-SA"/>
    </w:rPr>
  </w:style>
  <w:style w:type="paragraph" w:styleId="32">
    <w:name w:val="List Paragraph"/>
    <w:basedOn w:val="1"/>
    <w:next w:val="13"/>
    <w:qFormat/>
    <w:uiPriority w:val="34"/>
    <w:pPr>
      <w:ind w:firstLine="420" w:firstLineChars="200"/>
    </w:pPr>
    <w:rPr>
      <w:rFonts w:eastAsia="Times New Roman"/>
    </w:rPr>
  </w:style>
  <w:style w:type="character" w:customStyle="1" w:styleId="33">
    <w:name w:val="页眉 Char"/>
    <w:basedOn w:val="20"/>
    <w:link w:val="11"/>
    <w:qFormat/>
    <w:uiPriority w:val="99"/>
    <w:rPr>
      <w:rFonts w:ascii="Times New Roman" w:hAnsi="Times New Roman" w:eastAsia="宋体" w:cs="Times New Roman"/>
      <w:sz w:val="18"/>
      <w:szCs w:val="18"/>
    </w:rPr>
  </w:style>
  <w:style w:type="character" w:customStyle="1" w:styleId="34">
    <w:name w:val="页脚 Char"/>
    <w:basedOn w:val="20"/>
    <w:link w:val="10"/>
    <w:qFormat/>
    <w:uiPriority w:val="99"/>
    <w:rPr>
      <w:rFonts w:ascii="Times New Roman" w:hAnsi="Times New Roman" w:eastAsia="宋体" w:cs="Times New Roman"/>
      <w:sz w:val="18"/>
      <w:szCs w:val="18"/>
    </w:rPr>
  </w:style>
  <w:style w:type="character" w:customStyle="1" w:styleId="35">
    <w:name w:val="批注框文本 Char"/>
    <w:basedOn w:val="20"/>
    <w:link w:val="9"/>
    <w:semiHidden/>
    <w:qFormat/>
    <w:uiPriority w:val="99"/>
    <w:rPr>
      <w:rFonts w:ascii="Times New Roman" w:hAnsi="Times New Roman" w:eastAsia="宋体" w:cs="Times New Roman"/>
      <w:sz w:val="18"/>
      <w:szCs w:val="18"/>
    </w:rPr>
  </w:style>
  <w:style w:type="character" w:customStyle="1" w:styleId="36">
    <w:name w:val="文档结构图 Char"/>
    <w:basedOn w:val="20"/>
    <w:link w:val="4"/>
    <w:qFormat/>
    <w:uiPriority w:val="99"/>
    <w:rPr>
      <w:rFonts w:ascii="宋体" w:hAnsi="Times New Roman" w:eastAsia="宋体" w:cs="Times New Roman"/>
      <w:sz w:val="18"/>
      <w:szCs w:val="18"/>
    </w:rPr>
  </w:style>
  <w:style w:type="character" w:customStyle="1" w:styleId="37">
    <w:name w:val="批注文字 Char"/>
    <w:basedOn w:val="20"/>
    <w:link w:val="5"/>
    <w:qFormat/>
    <w:uiPriority w:val="99"/>
    <w:rPr>
      <w:rFonts w:ascii="Times New Roman" w:hAnsi="Times New Roman" w:eastAsia="宋体" w:cs="Times New Roman"/>
      <w:sz w:val="24"/>
      <w:szCs w:val="24"/>
    </w:rPr>
  </w:style>
  <w:style w:type="character" w:customStyle="1" w:styleId="38">
    <w:name w:val="批注主题 Char"/>
    <w:basedOn w:val="37"/>
    <w:link w:val="16"/>
    <w:semiHidden/>
    <w:qFormat/>
    <w:uiPriority w:val="99"/>
    <w:rPr>
      <w:rFonts w:ascii="Times New Roman" w:hAnsi="Times New Roman" w:eastAsia="宋体" w:cs="Times New Roman"/>
      <w:b/>
      <w:bCs/>
      <w:sz w:val="24"/>
      <w:szCs w:val="24"/>
    </w:rPr>
  </w:style>
  <w:style w:type="paragraph" w:customStyle="1" w:styleId="39">
    <w:name w:val="正文首行缩进2字符"/>
    <w:basedOn w:val="1"/>
    <w:qFormat/>
    <w:uiPriority w:val="0"/>
    <w:pPr>
      <w:ind w:firstLine="482"/>
    </w:pPr>
  </w:style>
  <w:style w:type="character" w:customStyle="1" w:styleId="40">
    <w:name w:val="current"/>
    <w:basedOn w:val="20"/>
    <w:qFormat/>
    <w:uiPriority w:val="0"/>
    <w:rPr>
      <w:b/>
      <w:bCs/>
      <w:color w:val="05A7D8"/>
      <w:sz w:val="18"/>
      <w:szCs w:val="18"/>
    </w:rPr>
  </w:style>
  <w:style w:type="character" w:customStyle="1" w:styleId="41">
    <w:name w:val="l-btn-left"/>
    <w:basedOn w:val="20"/>
    <w:qFormat/>
    <w:uiPriority w:val="0"/>
  </w:style>
  <w:style w:type="character" w:customStyle="1" w:styleId="42">
    <w:name w:val="l-btn-text36"/>
    <w:basedOn w:val="20"/>
    <w:qFormat/>
    <w:uiPriority w:val="0"/>
  </w:style>
  <w:style w:type="character" w:customStyle="1" w:styleId="43">
    <w:name w:val="l-btn-text"/>
    <w:basedOn w:val="20"/>
    <w:qFormat/>
    <w:uiPriority w:val="0"/>
  </w:style>
  <w:style w:type="character" w:customStyle="1" w:styleId="44">
    <w:name w:val="grame"/>
    <w:basedOn w:val="20"/>
    <w:qFormat/>
    <w:uiPriority w:val="0"/>
  </w:style>
  <w:style w:type="paragraph" w:customStyle="1" w:styleId="45">
    <w:name w:val="标准文本"/>
    <w:basedOn w:val="1"/>
    <w:qFormat/>
    <w:uiPriority w:val="0"/>
    <w:pPr>
      <w:spacing w:line="360" w:lineRule="auto"/>
      <w:ind w:firstLine="480" w:firstLineChars="200"/>
    </w:pPr>
    <w:rPr>
      <w:rFonts w:cs="宋体"/>
      <w:szCs w:val="20"/>
    </w:rPr>
  </w:style>
  <w:style w:type="paragraph" w:customStyle="1" w:styleId="46">
    <w:name w:val="_Style 3"/>
    <w:qFormat/>
    <w:uiPriority w:val="1"/>
    <w:pPr>
      <w:widowControl w:val="0"/>
      <w:jc w:val="both"/>
    </w:pPr>
    <w:rPr>
      <w:rFonts w:ascii="Calibri" w:hAnsi="Calibri" w:eastAsia="宋体" w:cs="Times New Roman"/>
      <w:kern w:val="2"/>
      <w:sz w:val="21"/>
      <w:szCs w:val="22"/>
      <w:lang w:val="en-US" w:eastAsia="zh-CN" w:bidi="ar-SA"/>
    </w:rPr>
  </w:style>
  <w:style w:type="character" w:customStyle="1" w:styleId="47">
    <w:name w:val="active"/>
    <w:basedOn w:val="20"/>
    <w:qFormat/>
    <w:uiPriority w:val="0"/>
    <w:rPr>
      <w:color w:val="FFFFFF"/>
      <w:bdr w:val="single" w:color="0F5BB9" w:sz="6" w:space="0"/>
      <w:shd w:val="clear" w:fill="0F5BB9"/>
    </w:rPr>
  </w:style>
  <w:style w:type="character" w:customStyle="1" w:styleId="48">
    <w:name w:val="active16"/>
    <w:basedOn w:val="20"/>
    <w:qFormat/>
    <w:uiPriority w:val="0"/>
    <w:rPr>
      <w:color w:val="FFFFFF"/>
      <w:bdr w:val="single" w:color="0F5BB9" w:sz="6" w:space="0"/>
      <w:shd w:val="clear" w:fill="0F5BB9"/>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46</Pages>
  <Words>22206</Words>
  <Characters>23520</Characters>
  <Lines>205</Lines>
  <Paragraphs>57</Paragraphs>
  <TotalTime>23</TotalTime>
  <ScaleCrop>false</ScaleCrop>
  <LinksUpToDate>false</LinksUpToDate>
  <CharactersWithSpaces>25857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2024-09-25T02:09:00Z</dcterms:created>
  <dc:creator>阙美霞</dc:creator>
  <cp:lastModifiedBy>黄雪峰</cp:lastModifiedBy>
  <cp:lastPrinted>2025-11-13T02:02:48Z</cp:lastPrinted>
  <dcterms:modified xsi:type="dcterms:W3CDTF">2025-11-13T02:12:52Z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F3364BD6D87D49C782854FCCE9FC0F91_13</vt:lpwstr>
  </property>
  <property fmtid="{D5CDD505-2E9C-101B-9397-08002B2CF9AE}" pid="4" name="KSOTemplateDocerSaveRecord">
    <vt:lpwstr>eyJoZGlkIjoiYmJmNmI3MzhhYzUyOWJlY2Q0ZTRhNjg0YmUxNzRkOWMiLCJ1c2VySWQiOiI3OTE4MTIzMzQifQ==</vt:lpwstr>
  </property>
</Properties>
</file>